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RPr="00F71132" w:rsidTr="00423C0D">
        <w:trPr>
          <w:trHeight w:val="1786"/>
        </w:trPr>
        <w:tc>
          <w:tcPr>
            <w:tcW w:w="5000" w:type="pct"/>
            <w:gridSpan w:val="4"/>
          </w:tcPr>
          <w:p w:rsidR="00423C0D" w:rsidRPr="00F71132" w:rsidRDefault="00423C0D" w:rsidP="00A51442">
            <w:pPr>
              <w:pStyle w:val="SCCBold"/>
              <w:jc w:val="center"/>
            </w:pPr>
            <w:bookmarkStart w:id="0" w:name="_GoBack"/>
            <w:bookmarkEnd w:id="0"/>
            <w:r w:rsidRPr="00F71132">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F71132" w:rsidRDefault="00423C0D" w:rsidP="009764CA">
            <w:pPr>
              <w:spacing w:before="120" w:after="100" w:afterAutospacing="1"/>
              <w:jc w:val="center"/>
              <w:rPr>
                <w:rFonts w:eastAsia="Calibri"/>
              </w:rPr>
            </w:pPr>
            <w:r w:rsidRPr="00F71132">
              <w:rPr>
                <w:rFonts w:eastAsia="Calibri"/>
                <w:b/>
              </w:rPr>
              <w:t>COUR SUPRÊME DU CANADA</w:t>
            </w:r>
          </w:p>
        </w:tc>
      </w:tr>
      <w:tr w:rsidR="00D056AE" w:rsidRPr="00F71132" w:rsidTr="00D056AE">
        <w:tblPrEx>
          <w:tblCellMar>
            <w:top w:w="58" w:type="dxa"/>
            <w:left w:w="58" w:type="dxa"/>
            <w:bottom w:w="58" w:type="dxa"/>
            <w:right w:w="58" w:type="dxa"/>
          </w:tblCellMar>
        </w:tblPrEx>
        <w:trPr>
          <w:cantSplit/>
        </w:trPr>
        <w:tc>
          <w:tcPr>
            <w:tcW w:w="2110" w:type="pct"/>
            <w:gridSpan w:val="2"/>
          </w:tcPr>
          <w:p w:rsidR="008215C3" w:rsidRPr="00F71132" w:rsidRDefault="008215C3" w:rsidP="002F0B6C">
            <w:pPr>
              <w:rPr>
                <w:b/>
                <w:smallCaps/>
              </w:rPr>
            </w:pPr>
          </w:p>
          <w:p w:rsidR="00FA064D" w:rsidRPr="00F71132" w:rsidRDefault="00D056AE" w:rsidP="00FA064D">
            <w:r w:rsidRPr="00F71132">
              <w:rPr>
                <w:b/>
                <w:smallCaps/>
              </w:rPr>
              <w:t>Référence :</w:t>
            </w:r>
            <w:r w:rsidRPr="00F71132">
              <w:t xml:space="preserve"> </w:t>
            </w:r>
            <w:r w:rsidR="00FA064D" w:rsidRPr="00F71132">
              <w:t xml:space="preserve">R. </w:t>
            </w:r>
            <w:r w:rsidR="00FA064D" w:rsidRPr="00F71132">
              <w:rPr>
                <w:i/>
              </w:rPr>
              <w:t>c.</w:t>
            </w:r>
            <w:r w:rsidR="00FA064D" w:rsidRPr="00F71132">
              <w:t xml:space="preserve"> Boudreau, 2024 CSC 9</w:t>
            </w:r>
          </w:p>
          <w:p w:rsidR="00D056AE" w:rsidRPr="00F71132" w:rsidRDefault="00D056AE" w:rsidP="002F0B6C">
            <w:pPr>
              <w:rPr>
                <w:b/>
                <w:smallCaps/>
              </w:rPr>
            </w:pPr>
          </w:p>
        </w:tc>
        <w:tc>
          <w:tcPr>
            <w:tcW w:w="780" w:type="pct"/>
          </w:tcPr>
          <w:p w:rsidR="00D056AE" w:rsidRPr="00F71132" w:rsidRDefault="00D056AE" w:rsidP="002F0B6C"/>
        </w:tc>
        <w:tc>
          <w:tcPr>
            <w:tcW w:w="2109" w:type="pct"/>
          </w:tcPr>
          <w:p w:rsidR="00D056AE" w:rsidRPr="00F71132" w:rsidRDefault="00D056AE" w:rsidP="00423C0D">
            <w:pPr>
              <w:jc w:val="both"/>
              <w:rPr>
                <w:b/>
                <w:smallCaps/>
              </w:rPr>
            </w:pPr>
          </w:p>
          <w:p w:rsidR="00D056AE" w:rsidRPr="00F71132" w:rsidRDefault="00D056AE" w:rsidP="00423C0D">
            <w:pPr>
              <w:jc w:val="both"/>
            </w:pPr>
            <w:r w:rsidRPr="00F71132">
              <w:rPr>
                <w:b/>
                <w:smallCaps/>
              </w:rPr>
              <w:t>Appel entendu :</w:t>
            </w:r>
            <w:r w:rsidRPr="00F71132">
              <w:t xml:space="preserve"> </w:t>
            </w:r>
            <w:r w:rsidR="00FA064D" w:rsidRPr="00F71132">
              <w:t>20 mars 2024</w:t>
            </w:r>
          </w:p>
          <w:p w:rsidR="00D056AE" w:rsidRPr="00F71132" w:rsidRDefault="00D056AE">
            <w:r w:rsidRPr="00F71132">
              <w:rPr>
                <w:b/>
                <w:smallCaps/>
              </w:rPr>
              <w:t>Jugement rendu :</w:t>
            </w:r>
            <w:r w:rsidRPr="00F71132">
              <w:t xml:space="preserve"> </w:t>
            </w:r>
            <w:r w:rsidR="00FA064D" w:rsidRPr="00F71132">
              <w:t>20 mars 2024</w:t>
            </w:r>
          </w:p>
          <w:p w:rsidR="00D056AE" w:rsidRPr="00F71132" w:rsidRDefault="00D056AE" w:rsidP="002F0B6C">
            <w:r w:rsidRPr="00F71132">
              <w:rPr>
                <w:b/>
                <w:smallCaps/>
              </w:rPr>
              <w:t>Dossier :</w:t>
            </w:r>
            <w:r w:rsidRPr="00F71132">
              <w:t xml:space="preserve"> 40810</w:t>
            </w:r>
          </w:p>
        </w:tc>
      </w:tr>
      <w:tr w:rsidR="00423C0D" w:rsidRPr="00F71132" w:rsidTr="00423C0D">
        <w:tblPrEx>
          <w:tblCellMar>
            <w:top w:w="58" w:type="dxa"/>
            <w:left w:w="58" w:type="dxa"/>
            <w:bottom w:w="58" w:type="dxa"/>
            <w:right w:w="58" w:type="dxa"/>
          </w:tblCellMar>
        </w:tblPrEx>
        <w:trPr>
          <w:cantSplit/>
        </w:trPr>
        <w:tc>
          <w:tcPr>
            <w:tcW w:w="5000" w:type="pct"/>
            <w:gridSpan w:val="4"/>
          </w:tcPr>
          <w:p w:rsidR="00423C0D" w:rsidRPr="00F71132" w:rsidRDefault="00423C0D" w:rsidP="00423C0D"/>
          <w:p w:rsidR="000C7303" w:rsidRPr="00F71132" w:rsidRDefault="00FA064D">
            <w:pPr>
              <w:pStyle w:val="SCCLsocPrefix"/>
            </w:pPr>
            <w:r w:rsidRPr="00F71132">
              <w:t>Entre </w:t>
            </w:r>
            <w:r w:rsidR="009A5FA5" w:rsidRPr="00F71132">
              <w:t>:</w:t>
            </w:r>
          </w:p>
          <w:p w:rsidR="00FA064D" w:rsidRPr="00F71132" w:rsidRDefault="00FA064D" w:rsidP="00FA064D"/>
          <w:p w:rsidR="000C7303" w:rsidRPr="00F71132" w:rsidRDefault="009A5FA5">
            <w:pPr>
              <w:pStyle w:val="SCCLsocParty"/>
            </w:pPr>
            <w:r w:rsidRPr="00F71132">
              <w:t>Gabriel Boudreau</w:t>
            </w:r>
          </w:p>
          <w:p w:rsidR="000C7303" w:rsidRPr="00F71132" w:rsidRDefault="00FA064D">
            <w:pPr>
              <w:pStyle w:val="SCCLsocPartyRole"/>
            </w:pPr>
            <w:r w:rsidRPr="00F71132">
              <w:t>Appelant</w:t>
            </w:r>
          </w:p>
          <w:p w:rsidR="000C7303" w:rsidRPr="00F71132" w:rsidRDefault="000C7303"/>
          <w:p w:rsidR="000C7303" w:rsidRPr="00F71132" w:rsidRDefault="00FA064D">
            <w:pPr>
              <w:pStyle w:val="SCCLsocVersus"/>
            </w:pPr>
            <w:r w:rsidRPr="00F71132">
              <w:t>et</w:t>
            </w:r>
          </w:p>
          <w:p w:rsidR="000C7303" w:rsidRPr="00F71132" w:rsidRDefault="000C7303"/>
          <w:p w:rsidR="000C7303" w:rsidRPr="00F71132" w:rsidRDefault="009A5FA5">
            <w:pPr>
              <w:pStyle w:val="SCCLsocParty"/>
            </w:pPr>
            <w:r w:rsidRPr="00F71132">
              <w:t>Sa Majesté le Roi</w:t>
            </w:r>
          </w:p>
          <w:p w:rsidR="000C7303" w:rsidRPr="00F71132" w:rsidRDefault="00FA064D">
            <w:pPr>
              <w:pStyle w:val="SCCLsocPartyRole"/>
            </w:pPr>
            <w:r w:rsidRPr="00F71132">
              <w:t>Intimé</w:t>
            </w:r>
          </w:p>
          <w:p w:rsidR="00C34313" w:rsidRPr="00F71132" w:rsidRDefault="00C34313" w:rsidP="00423C0D"/>
          <w:p w:rsidR="00423C0D" w:rsidRPr="00F71132" w:rsidRDefault="00423C0D" w:rsidP="00FA064D">
            <w:pPr>
              <w:jc w:val="center"/>
              <w:rPr>
                <w:b/>
                <w:smallCaps/>
              </w:rPr>
            </w:pPr>
          </w:p>
          <w:p w:rsidR="00FA064D" w:rsidRPr="00F71132" w:rsidRDefault="00FA064D" w:rsidP="00423C0D"/>
          <w:p w:rsidR="00423C0D" w:rsidRPr="00F71132" w:rsidRDefault="00423C0D" w:rsidP="00423C0D">
            <w:r w:rsidRPr="00F71132">
              <w:rPr>
                <w:b/>
                <w:smallCaps/>
              </w:rPr>
              <w:t>Coram :</w:t>
            </w:r>
            <w:r w:rsidRPr="00F71132">
              <w:t xml:space="preserve"> </w:t>
            </w:r>
            <w:r w:rsidR="00FA064D" w:rsidRPr="00F71132">
              <w:t>Les juges Côté, Martin, Kasirer, Jamal et O’Bonsawin</w:t>
            </w:r>
          </w:p>
          <w:p w:rsidR="00423C0D" w:rsidRPr="00F71132" w:rsidRDefault="00423C0D" w:rsidP="00423C0D">
            <w:pPr>
              <w:jc w:val="both"/>
              <w:rPr>
                <w:b/>
                <w:smallCaps/>
              </w:rPr>
            </w:pPr>
          </w:p>
        </w:tc>
      </w:tr>
      <w:tr w:rsidR="004E69EC" w:rsidRPr="00F71132" w:rsidTr="00D056AE">
        <w:tblPrEx>
          <w:tblCellMar>
            <w:top w:w="58" w:type="dxa"/>
            <w:left w:w="58" w:type="dxa"/>
            <w:bottom w:w="58" w:type="dxa"/>
            <w:right w:w="58" w:type="dxa"/>
          </w:tblCellMar>
        </w:tblPrEx>
        <w:trPr>
          <w:cantSplit/>
        </w:trPr>
        <w:tc>
          <w:tcPr>
            <w:tcW w:w="1251" w:type="pct"/>
          </w:tcPr>
          <w:p w:rsidR="00FA064D" w:rsidRPr="00F71132" w:rsidRDefault="00FA064D" w:rsidP="00FA064D">
            <w:pPr>
              <w:rPr>
                <w:b/>
              </w:rPr>
            </w:pPr>
            <w:r w:rsidRPr="00F71132">
              <w:rPr>
                <w:b/>
                <w:smallCaps/>
              </w:rPr>
              <w:t>Jugement unanime lu par</w:t>
            </w:r>
            <w:r w:rsidRPr="00F71132">
              <w:rPr>
                <w:b/>
              </w:rPr>
              <w:t> :</w:t>
            </w:r>
          </w:p>
          <w:p w:rsidR="00FA064D" w:rsidRPr="00F71132" w:rsidRDefault="00D568AD" w:rsidP="00FA064D">
            <w:r w:rsidRPr="00F71132">
              <w:t>(par. 1</w:t>
            </w:r>
            <w:r w:rsidR="00FA064D" w:rsidRPr="00F71132">
              <w:t>)</w:t>
            </w:r>
          </w:p>
          <w:p w:rsidR="004E69EC" w:rsidRPr="00F71132" w:rsidRDefault="004E69EC" w:rsidP="002F0B6C"/>
        </w:tc>
        <w:tc>
          <w:tcPr>
            <w:tcW w:w="3749" w:type="pct"/>
            <w:gridSpan w:val="3"/>
          </w:tcPr>
          <w:p w:rsidR="004E69EC" w:rsidRPr="00F71132" w:rsidRDefault="00FA064D">
            <w:r w:rsidRPr="00F71132">
              <w:t>La juge Côté</w:t>
            </w:r>
          </w:p>
        </w:tc>
      </w:tr>
      <w:tr w:rsidR="00FA064D" w:rsidRPr="00F71132" w:rsidTr="009D0F26">
        <w:tblPrEx>
          <w:tblCellMar>
            <w:top w:w="58" w:type="dxa"/>
            <w:left w:w="58" w:type="dxa"/>
            <w:bottom w:w="58" w:type="dxa"/>
            <w:right w:w="58" w:type="dxa"/>
          </w:tblCellMar>
        </w:tblPrEx>
        <w:trPr>
          <w:cantSplit/>
        </w:trPr>
        <w:tc>
          <w:tcPr>
            <w:tcW w:w="1" w:type="pct"/>
            <w:gridSpan w:val="4"/>
          </w:tcPr>
          <w:p w:rsidR="00FA064D" w:rsidRPr="00F71132" w:rsidRDefault="00FA064D" w:rsidP="00FA064D">
            <w:pPr>
              <w:widowControl w:val="0"/>
              <w:jc w:val="both"/>
              <w:rPr>
                <w:b/>
                <w:smallCaps/>
              </w:rPr>
            </w:pPr>
            <w:r w:rsidRPr="00F71132">
              <w:rPr>
                <w:b/>
                <w:smallCaps/>
              </w:rPr>
              <w:t>Avocats :</w:t>
            </w:r>
          </w:p>
          <w:p w:rsidR="00FA064D" w:rsidRPr="00F71132" w:rsidRDefault="00FA064D"/>
          <w:p w:rsidR="00FA064D" w:rsidRPr="00F71132" w:rsidRDefault="00AD4622">
            <w:r w:rsidRPr="00F71132">
              <w:rPr>
                <w:i/>
              </w:rPr>
              <w:t>Alain Dumas</w:t>
            </w:r>
            <w:r w:rsidRPr="00F71132">
              <w:t>, pour l’appelant.</w:t>
            </w:r>
          </w:p>
          <w:p w:rsidR="00AD4622" w:rsidRPr="00F71132" w:rsidRDefault="00AD4622">
            <w:r w:rsidRPr="00F71132">
              <w:rPr>
                <w:i/>
              </w:rPr>
              <w:t>Olivier T. Raymond</w:t>
            </w:r>
            <w:r w:rsidRPr="00F71132">
              <w:t xml:space="preserve"> et </w:t>
            </w:r>
            <w:r w:rsidRPr="00F71132">
              <w:rPr>
                <w:i/>
              </w:rPr>
              <w:t>Sabrina Lambert-Michel</w:t>
            </w:r>
            <w:r w:rsidRPr="00F71132">
              <w:t>, pour l’intimé.</w:t>
            </w:r>
          </w:p>
          <w:p w:rsidR="00AD4622" w:rsidRPr="00F71132" w:rsidRDefault="00AD4622"/>
        </w:tc>
      </w:tr>
    </w:tbl>
    <w:p w:rsidR="00F837E7" w:rsidRPr="00F71132" w:rsidRDefault="00F837E7"/>
    <w:p w:rsidR="000C7303" w:rsidRPr="00F71132" w:rsidRDefault="000C7303"/>
    <w:p w:rsidR="004F7322" w:rsidRPr="00F71132" w:rsidRDefault="004F7322" w:rsidP="004F7322"/>
    <w:p w:rsidR="00904937" w:rsidRPr="00F71132" w:rsidRDefault="00904937">
      <w:r w:rsidRPr="00F71132">
        <w:rPr>
          <w:b/>
          <w:smallCaps/>
        </w:rPr>
        <w:t>Note</w:t>
      </w:r>
      <w:r w:rsidR="002F0B6C" w:rsidRPr="00F71132">
        <w:rPr>
          <w:b/>
          <w:smallCaps/>
        </w:rPr>
        <w:t> :</w:t>
      </w:r>
      <w:r w:rsidRPr="00F71132">
        <w:rPr>
          <w:b/>
        </w:rPr>
        <w:t xml:space="preserve"> </w:t>
      </w:r>
      <w:r w:rsidR="001E12E2" w:rsidRPr="00F71132">
        <w:t>Ce document fera l’objet de retouches de forme avant la parution</w:t>
      </w:r>
      <w:r w:rsidR="005C0397" w:rsidRPr="00F71132">
        <w:t xml:space="preserve"> </w:t>
      </w:r>
      <w:r w:rsidR="001E12E2" w:rsidRPr="00F71132">
        <w:t>de sa version définitive dans le</w:t>
      </w:r>
      <w:r w:rsidRPr="00F71132">
        <w:t xml:space="preserve"> </w:t>
      </w:r>
      <w:r w:rsidR="001E12E2" w:rsidRPr="00F71132">
        <w:rPr>
          <w:i/>
        </w:rPr>
        <w:t>Recueil des arrêts de la Cour suprême du C</w:t>
      </w:r>
      <w:r w:rsidRPr="00F71132">
        <w:rPr>
          <w:i/>
        </w:rPr>
        <w:t>anada</w:t>
      </w:r>
      <w:r w:rsidRPr="00F7113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F71132" w:rsidTr="003375C9">
        <w:tc>
          <w:tcPr>
            <w:tcW w:w="1500" w:type="pct"/>
            <w:tcMar>
              <w:top w:w="284" w:type="dxa"/>
            </w:tcMar>
          </w:tcPr>
          <w:p w:rsidR="000D1436" w:rsidRPr="00F71132" w:rsidRDefault="000D1436" w:rsidP="003375C9">
            <w:pPr>
              <w:rPr>
                <w:rFonts w:eastAsia="Calibri"/>
              </w:rPr>
            </w:pPr>
          </w:p>
        </w:tc>
        <w:tc>
          <w:tcPr>
            <w:tcW w:w="2000" w:type="pct"/>
            <w:tcBorders>
              <w:bottom w:val="single" w:sz="4" w:space="0" w:color="auto"/>
            </w:tcBorders>
            <w:tcMar>
              <w:top w:w="284" w:type="dxa"/>
            </w:tcMar>
          </w:tcPr>
          <w:p w:rsidR="000D1436" w:rsidRPr="00F71132" w:rsidRDefault="000D1436" w:rsidP="003375C9">
            <w:pPr>
              <w:rPr>
                <w:rFonts w:eastAsia="Calibri"/>
              </w:rPr>
            </w:pPr>
          </w:p>
        </w:tc>
        <w:tc>
          <w:tcPr>
            <w:tcW w:w="1500" w:type="pct"/>
            <w:tcMar>
              <w:top w:w="284" w:type="dxa"/>
            </w:tcMar>
          </w:tcPr>
          <w:p w:rsidR="000D1436" w:rsidRPr="00F71132" w:rsidRDefault="000D1436" w:rsidP="003375C9">
            <w:pPr>
              <w:rPr>
                <w:rFonts w:eastAsia="Calibri"/>
              </w:rPr>
            </w:pPr>
          </w:p>
        </w:tc>
      </w:tr>
    </w:tbl>
    <w:p w:rsidR="00F71132" w:rsidRPr="00F71132" w:rsidRDefault="00F71132"/>
    <w:p w:rsidR="00F71132" w:rsidRPr="00F71132" w:rsidRDefault="00F71132" w:rsidP="00F71132">
      <w:r w:rsidRPr="00F71132">
        <w:br w:type="page"/>
      </w:r>
    </w:p>
    <w:p w:rsidR="00F71132" w:rsidRPr="00F71132" w:rsidRDefault="00F71132" w:rsidP="00F71132">
      <w:pPr>
        <w:jc w:val="right"/>
      </w:pPr>
      <w:r w:rsidRPr="00F71132">
        <w:t>N</w:t>
      </w:r>
      <w:r w:rsidRPr="00F71132">
        <w:rPr>
          <w:vertAlign w:val="superscript"/>
        </w:rPr>
        <w:t>o</w:t>
      </w:r>
      <w:r w:rsidRPr="00F71132">
        <w:t xml:space="preserve"> 40810</w:t>
      </w:r>
    </w:p>
    <w:p w:rsidR="00F71132" w:rsidRPr="00F71132" w:rsidRDefault="00F71132" w:rsidP="00F71132"/>
    <w:p w:rsidR="00F71132" w:rsidRPr="00F71132" w:rsidRDefault="00F71132" w:rsidP="00F71132"/>
    <w:tbl>
      <w:tblPr>
        <w:tblW w:w="5079" w:type="pct"/>
        <w:tblCellMar>
          <w:top w:w="58" w:type="dxa"/>
          <w:left w:w="58" w:type="dxa"/>
          <w:bottom w:w="58" w:type="dxa"/>
          <w:right w:w="58" w:type="dxa"/>
        </w:tblCellMar>
        <w:tblLook w:val="0000" w:firstRow="0" w:lastRow="0" w:firstColumn="0" w:lastColumn="0" w:noHBand="0" w:noVBand="0"/>
      </w:tblPr>
      <w:tblGrid>
        <w:gridCol w:w="4320"/>
        <w:gridCol w:w="702"/>
        <w:gridCol w:w="4486"/>
      </w:tblGrid>
      <w:tr w:rsidR="00F71132" w:rsidRPr="00F71132" w:rsidTr="00CB7EF1">
        <w:tc>
          <w:tcPr>
            <w:tcW w:w="2272" w:type="pct"/>
          </w:tcPr>
          <w:p w:rsidR="00F71132" w:rsidRPr="00F71132" w:rsidRDefault="00F71132" w:rsidP="00CB7EF1">
            <w:r w:rsidRPr="00F71132">
              <w:t>Le 21 mars 2024</w:t>
            </w:r>
          </w:p>
        </w:tc>
        <w:tc>
          <w:tcPr>
            <w:tcW w:w="369" w:type="pct"/>
          </w:tcPr>
          <w:p w:rsidR="00F71132" w:rsidRPr="00F71132" w:rsidRDefault="00F71132" w:rsidP="00CB7EF1"/>
        </w:tc>
        <w:tc>
          <w:tcPr>
            <w:tcW w:w="2359" w:type="pct"/>
          </w:tcPr>
          <w:p w:rsidR="00F71132" w:rsidRPr="00F71132" w:rsidRDefault="00F71132" w:rsidP="00CB7EF1">
            <w:pPr>
              <w:rPr>
                <w:lang w:val="en-CA"/>
              </w:rPr>
            </w:pPr>
            <w:r w:rsidRPr="00F71132">
              <w:t>March 21, 2024</w:t>
            </w:r>
          </w:p>
        </w:tc>
      </w:tr>
      <w:tr w:rsidR="00F71132" w:rsidRPr="00F71132" w:rsidTr="00CB7EF1">
        <w:tc>
          <w:tcPr>
            <w:tcW w:w="2272" w:type="pct"/>
            <w:tcMar>
              <w:top w:w="0" w:type="dxa"/>
              <w:bottom w:w="0" w:type="dxa"/>
            </w:tcMar>
          </w:tcPr>
          <w:p w:rsidR="00F71132" w:rsidRPr="00F71132" w:rsidRDefault="00F71132" w:rsidP="00CB7EF1">
            <w:pPr>
              <w:rPr>
                <w:lang w:val="en-US"/>
              </w:rPr>
            </w:pPr>
          </w:p>
        </w:tc>
        <w:tc>
          <w:tcPr>
            <w:tcW w:w="369" w:type="pct"/>
            <w:tcMar>
              <w:top w:w="0" w:type="dxa"/>
              <w:bottom w:w="0" w:type="dxa"/>
            </w:tcMar>
          </w:tcPr>
          <w:p w:rsidR="00F71132" w:rsidRPr="00F71132" w:rsidRDefault="00F71132" w:rsidP="00CB7EF1">
            <w:pPr>
              <w:rPr>
                <w:lang w:val="en-US"/>
              </w:rPr>
            </w:pPr>
          </w:p>
        </w:tc>
        <w:tc>
          <w:tcPr>
            <w:tcW w:w="2359" w:type="pct"/>
            <w:tcMar>
              <w:top w:w="0" w:type="dxa"/>
              <w:bottom w:w="0" w:type="dxa"/>
            </w:tcMar>
          </w:tcPr>
          <w:p w:rsidR="00F71132" w:rsidRPr="00F71132" w:rsidRDefault="00F71132" w:rsidP="00CB7EF1">
            <w:pPr>
              <w:rPr>
                <w:lang w:val="en-CA"/>
              </w:rPr>
            </w:pPr>
          </w:p>
        </w:tc>
      </w:tr>
      <w:tr w:rsidR="00F71132" w:rsidRPr="00F71132" w:rsidTr="00CB7EF1">
        <w:tc>
          <w:tcPr>
            <w:tcW w:w="2272" w:type="pct"/>
          </w:tcPr>
          <w:p w:rsidR="00F71132" w:rsidRPr="00F71132" w:rsidRDefault="00F71132" w:rsidP="00CB7EF1">
            <w:pPr>
              <w:jc w:val="both"/>
            </w:pPr>
            <w:r w:rsidRPr="00F71132">
              <w:t>Coram : Les juges Côté, Martin, Kasirer, Jamal et O’Bonsawin</w:t>
            </w:r>
          </w:p>
        </w:tc>
        <w:tc>
          <w:tcPr>
            <w:tcW w:w="369" w:type="pct"/>
          </w:tcPr>
          <w:p w:rsidR="00F71132" w:rsidRPr="00F71132" w:rsidRDefault="00F71132" w:rsidP="00CB7EF1"/>
        </w:tc>
        <w:tc>
          <w:tcPr>
            <w:tcW w:w="2359" w:type="pct"/>
          </w:tcPr>
          <w:p w:rsidR="00F71132" w:rsidRPr="00F71132" w:rsidRDefault="00F71132" w:rsidP="00CB7EF1">
            <w:pPr>
              <w:jc w:val="both"/>
              <w:rPr>
                <w:lang w:val="en-CA"/>
              </w:rPr>
            </w:pPr>
            <w:r w:rsidRPr="00F71132">
              <w:rPr>
                <w:lang w:val="en-CA"/>
              </w:rPr>
              <w:t xml:space="preserve">Coram: Côté, Martin, Kasirer, Jamal and O’Bonsawin JJ. </w:t>
            </w:r>
          </w:p>
        </w:tc>
      </w:tr>
      <w:tr w:rsidR="00F71132" w:rsidRPr="00F71132" w:rsidTr="00CB7EF1">
        <w:tc>
          <w:tcPr>
            <w:tcW w:w="2272" w:type="pct"/>
            <w:tcMar>
              <w:top w:w="0" w:type="dxa"/>
              <w:bottom w:w="0" w:type="dxa"/>
            </w:tcMar>
          </w:tcPr>
          <w:p w:rsidR="00F71132" w:rsidRPr="00F71132" w:rsidRDefault="00F71132" w:rsidP="00CB7EF1">
            <w:pPr>
              <w:rPr>
                <w:lang w:val="en-US"/>
              </w:rPr>
            </w:pPr>
          </w:p>
        </w:tc>
        <w:tc>
          <w:tcPr>
            <w:tcW w:w="369" w:type="pct"/>
            <w:tcMar>
              <w:top w:w="0" w:type="dxa"/>
              <w:bottom w:w="0" w:type="dxa"/>
            </w:tcMar>
          </w:tcPr>
          <w:p w:rsidR="00F71132" w:rsidRPr="00F71132" w:rsidRDefault="00F71132" w:rsidP="00CB7EF1">
            <w:pPr>
              <w:rPr>
                <w:lang w:val="en-US"/>
              </w:rPr>
            </w:pPr>
          </w:p>
        </w:tc>
        <w:tc>
          <w:tcPr>
            <w:tcW w:w="2359" w:type="pct"/>
            <w:tcMar>
              <w:top w:w="0" w:type="dxa"/>
              <w:bottom w:w="0" w:type="dxa"/>
            </w:tcMar>
          </w:tcPr>
          <w:p w:rsidR="00F71132" w:rsidRPr="00F71132" w:rsidRDefault="00F71132" w:rsidP="00CB7EF1">
            <w:pPr>
              <w:rPr>
                <w:lang w:val="en-CA"/>
              </w:rPr>
            </w:pPr>
          </w:p>
        </w:tc>
      </w:tr>
      <w:tr w:rsidR="00F71132" w:rsidRPr="00F71132" w:rsidTr="00CB7EF1">
        <w:tc>
          <w:tcPr>
            <w:tcW w:w="2272" w:type="pct"/>
          </w:tcPr>
          <w:p w:rsidR="00F71132" w:rsidRPr="00F71132" w:rsidRDefault="00F71132" w:rsidP="00CB7EF1"/>
          <w:p w:rsidR="00F71132" w:rsidRPr="00F71132" w:rsidRDefault="00F71132" w:rsidP="00CB7EF1">
            <w:pPr>
              <w:pStyle w:val="SCCLsocPrefix"/>
            </w:pPr>
            <w:r w:rsidRPr="00F71132">
              <w:t>ENTRE :</w:t>
            </w:r>
          </w:p>
          <w:p w:rsidR="00F71132" w:rsidRPr="00F71132" w:rsidRDefault="00F71132" w:rsidP="00CB7EF1"/>
          <w:p w:rsidR="00F71132" w:rsidRPr="00F71132" w:rsidRDefault="00F71132" w:rsidP="00CB7EF1">
            <w:pPr>
              <w:pStyle w:val="SCCLsocParty"/>
              <w:rPr>
                <w:b w:val="0"/>
              </w:rPr>
            </w:pPr>
            <w:r w:rsidRPr="00F71132">
              <w:rPr>
                <w:b w:val="0"/>
              </w:rPr>
              <w:t>Gabriel Boudreau</w:t>
            </w:r>
            <w:r w:rsidRPr="00F71132">
              <w:rPr>
                <w:b w:val="0"/>
              </w:rPr>
              <w:br/>
            </w:r>
          </w:p>
          <w:p w:rsidR="00F71132" w:rsidRPr="00F71132" w:rsidRDefault="00F71132" w:rsidP="00CB7EF1">
            <w:pPr>
              <w:pStyle w:val="SCCLsocPartyRole"/>
            </w:pPr>
            <w:r w:rsidRPr="00F71132">
              <w:t>Appelant</w:t>
            </w:r>
            <w:r w:rsidRPr="00F71132">
              <w:br/>
            </w:r>
          </w:p>
          <w:p w:rsidR="00F71132" w:rsidRPr="00F71132" w:rsidRDefault="00F71132" w:rsidP="00CB7EF1">
            <w:pPr>
              <w:pStyle w:val="SCCLsocVersus"/>
            </w:pPr>
            <w:r w:rsidRPr="00F71132">
              <w:t>- et -</w:t>
            </w:r>
          </w:p>
          <w:p w:rsidR="00F71132" w:rsidRPr="00F71132" w:rsidRDefault="00F71132" w:rsidP="00CB7EF1"/>
          <w:p w:rsidR="00F71132" w:rsidRPr="00F71132" w:rsidRDefault="00F71132" w:rsidP="00CB7EF1">
            <w:pPr>
              <w:pStyle w:val="SCCLsocParty"/>
              <w:rPr>
                <w:b w:val="0"/>
              </w:rPr>
            </w:pPr>
            <w:r w:rsidRPr="00F71132">
              <w:rPr>
                <w:b w:val="0"/>
              </w:rPr>
              <w:t>Sa Majesté le Roi</w:t>
            </w:r>
            <w:r w:rsidRPr="00F71132">
              <w:rPr>
                <w:b w:val="0"/>
              </w:rPr>
              <w:br/>
            </w:r>
          </w:p>
          <w:p w:rsidR="00F71132" w:rsidRPr="00F71132" w:rsidRDefault="00F71132" w:rsidP="00CB7EF1">
            <w:pPr>
              <w:pStyle w:val="SCCLsocPartyRole"/>
            </w:pPr>
            <w:r w:rsidRPr="00F71132">
              <w:t>Intimé</w:t>
            </w:r>
          </w:p>
        </w:tc>
        <w:tc>
          <w:tcPr>
            <w:tcW w:w="369" w:type="pct"/>
          </w:tcPr>
          <w:p w:rsidR="00F71132" w:rsidRPr="00F71132" w:rsidRDefault="00F71132" w:rsidP="00CB7EF1"/>
        </w:tc>
        <w:tc>
          <w:tcPr>
            <w:tcW w:w="2359" w:type="pct"/>
          </w:tcPr>
          <w:p w:rsidR="00F71132" w:rsidRPr="00F71132" w:rsidRDefault="00F71132" w:rsidP="00CB7EF1"/>
          <w:p w:rsidR="00F71132" w:rsidRPr="00F71132" w:rsidRDefault="00F71132" w:rsidP="00CB7EF1">
            <w:pPr>
              <w:pStyle w:val="SCCLsocPrefix"/>
              <w:rPr>
                <w:lang w:val="en-US"/>
              </w:rPr>
            </w:pPr>
            <w:r w:rsidRPr="00F71132">
              <w:rPr>
                <w:lang w:val="en-US"/>
              </w:rPr>
              <w:t>BETWEEN:</w:t>
            </w:r>
          </w:p>
          <w:p w:rsidR="00F71132" w:rsidRPr="00F71132" w:rsidRDefault="00F71132" w:rsidP="00CB7EF1">
            <w:pPr>
              <w:rPr>
                <w:lang w:val="en-US"/>
              </w:rPr>
            </w:pPr>
          </w:p>
          <w:p w:rsidR="00F71132" w:rsidRPr="00F71132" w:rsidRDefault="00F71132" w:rsidP="00CB7EF1">
            <w:pPr>
              <w:pStyle w:val="SCCLsocParty"/>
              <w:rPr>
                <w:b w:val="0"/>
                <w:lang w:val="en-US"/>
              </w:rPr>
            </w:pPr>
            <w:r w:rsidRPr="00F71132">
              <w:rPr>
                <w:b w:val="0"/>
                <w:lang w:val="en-US"/>
              </w:rPr>
              <w:t>Gabriel Boudreau</w:t>
            </w:r>
            <w:r w:rsidRPr="00F71132">
              <w:rPr>
                <w:b w:val="0"/>
                <w:lang w:val="en-US"/>
              </w:rPr>
              <w:br/>
            </w:r>
          </w:p>
          <w:p w:rsidR="00F71132" w:rsidRPr="00F71132" w:rsidRDefault="00F71132" w:rsidP="00CB7EF1">
            <w:pPr>
              <w:pStyle w:val="SCCLsocPartyRole"/>
              <w:rPr>
                <w:lang w:val="en-US"/>
              </w:rPr>
            </w:pPr>
            <w:r w:rsidRPr="00F71132">
              <w:rPr>
                <w:lang w:val="en-US"/>
              </w:rPr>
              <w:t>Appellant</w:t>
            </w:r>
            <w:r w:rsidRPr="00F71132">
              <w:rPr>
                <w:lang w:val="en-US"/>
              </w:rPr>
              <w:br/>
            </w:r>
          </w:p>
          <w:p w:rsidR="00F71132" w:rsidRPr="00F71132" w:rsidRDefault="00F71132" w:rsidP="00CB7EF1">
            <w:pPr>
              <w:pStyle w:val="SCCLsocVersus"/>
              <w:rPr>
                <w:lang w:val="en-US"/>
              </w:rPr>
            </w:pPr>
            <w:r w:rsidRPr="00F71132">
              <w:rPr>
                <w:lang w:val="en-US"/>
              </w:rPr>
              <w:t>- and -</w:t>
            </w:r>
          </w:p>
          <w:p w:rsidR="00F71132" w:rsidRPr="00F71132" w:rsidRDefault="00F71132" w:rsidP="00CB7EF1">
            <w:pPr>
              <w:rPr>
                <w:lang w:val="en-US"/>
              </w:rPr>
            </w:pPr>
          </w:p>
          <w:p w:rsidR="00F71132" w:rsidRPr="00F71132" w:rsidRDefault="00F71132" w:rsidP="00CB7EF1">
            <w:pPr>
              <w:pStyle w:val="SCCLsocParty"/>
              <w:rPr>
                <w:b w:val="0"/>
                <w:lang w:val="en-US"/>
              </w:rPr>
            </w:pPr>
            <w:r w:rsidRPr="00F71132">
              <w:rPr>
                <w:b w:val="0"/>
                <w:lang w:val="en-US"/>
              </w:rPr>
              <w:t>His Majesty The King</w:t>
            </w:r>
            <w:r w:rsidRPr="00F71132">
              <w:rPr>
                <w:b w:val="0"/>
                <w:lang w:val="en-US"/>
              </w:rPr>
              <w:br/>
            </w:r>
          </w:p>
          <w:p w:rsidR="00F71132" w:rsidRPr="00F71132" w:rsidRDefault="00F71132" w:rsidP="00CB7EF1">
            <w:pPr>
              <w:pStyle w:val="SCCLsocPartyRole"/>
            </w:pPr>
            <w:r w:rsidRPr="00F71132">
              <w:t>Respondent</w:t>
            </w:r>
          </w:p>
        </w:tc>
      </w:tr>
      <w:tr w:rsidR="00F71132" w:rsidRPr="00F71132" w:rsidTr="00CB7EF1">
        <w:tc>
          <w:tcPr>
            <w:tcW w:w="2272" w:type="pct"/>
            <w:tcMar>
              <w:top w:w="0" w:type="dxa"/>
              <w:bottom w:w="0" w:type="dxa"/>
            </w:tcMar>
          </w:tcPr>
          <w:p w:rsidR="00F71132" w:rsidRPr="00F71132" w:rsidRDefault="00F71132" w:rsidP="00CB7EF1">
            <w:pPr>
              <w:rPr>
                <w:lang w:val="en-CA"/>
              </w:rPr>
            </w:pPr>
          </w:p>
        </w:tc>
        <w:tc>
          <w:tcPr>
            <w:tcW w:w="369" w:type="pct"/>
            <w:tcMar>
              <w:top w:w="0" w:type="dxa"/>
              <w:bottom w:w="0" w:type="dxa"/>
            </w:tcMar>
          </w:tcPr>
          <w:p w:rsidR="00F71132" w:rsidRPr="00F71132" w:rsidRDefault="00F71132" w:rsidP="00CB7EF1">
            <w:pPr>
              <w:rPr>
                <w:lang w:val="en-US"/>
              </w:rPr>
            </w:pPr>
          </w:p>
        </w:tc>
        <w:tc>
          <w:tcPr>
            <w:tcW w:w="2359" w:type="pct"/>
            <w:tcMar>
              <w:top w:w="0" w:type="dxa"/>
              <w:bottom w:w="0" w:type="dxa"/>
            </w:tcMar>
          </w:tcPr>
          <w:p w:rsidR="00F71132" w:rsidRPr="00F71132" w:rsidRDefault="00F71132" w:rsidP="00CB7EF1">
            <w:pPr>
              <w:rPr>
                <w:lang w:val="en-CA"/>
              </w:rPr>
            </w:pPr>
          </w:p>
        </w:tc>
      </w:tr>
      <w:tr w:rsidR="00F71132" w:rsidRPr="00F71132" w:rsidTr="00CB7EF1">
        <w:tc>
          <w:tcPr>
            <w:tcW w:w="2272" w:type="pct"/>
          </w:tcPr>
          <w:p w:rsidR="00F71132" w:rsidRPr="00F71132" w:rsidRDefault="00F71132" w:rsidP="00CB7EF1">
            <w:pPr>
              <w:jc w:val="center"/>
            </w:pPr>
            <w:r w:rsidRPr="00F71132">
              <w:t>JUGEMENT</w:t>
            </w:r>
          </w:p>
          <w:p w:rsidR="00F71132" w:rsidRPr="00F71132" w:rsidRDefault="00F71132" w:rsidP="00CB7EF1">
            <w:pPr>
              <w:jc w:val="center"/>
            </w:pPr>
          </w:p>
          <w:p w:rsidR="00F71132" w:rsidRPr="00F71132" w:rsidRDefault="00F71132" w:rsidP="00CB7EF1">
            <w:pPr>
              <w:jc w:val="both"/>
            </w:pPr>
            <w:r w:rsidRPr="00F71132">
              <w:t xml:space="preserve">L’appel interjeté contre l’arrêt de la Cour d’appel du Québec (Québec), numéro 200-10-003920-217, </w:t>
            </w:r>
            <w:hyperlink r:id="rId8" w:history="1">
              <w:r w:rsidRPr="00F71132">
                <w:rPr>
                  <w:rStyle w:val="Hyperlink"/>
                </w:rPr>
                <w:t>2023 QCCA 358</w:t>
              </w:r>
            </w:hyperlink>
            <w:r w:rsidRPr="00F71132">
              <w:t>, daté du 16 mars 2023, a été entendu le 20 mars 2024 et la Cour a prononcé oralement le même jour le jugement suivant :</w:t>
            </w:r>
          </w:p>
          <w:p w:rsidR="00F71132" w:rsidRPr="00F71132" w:rsidRDefault="00F71132" w:rsidP="00CB7EF1">
            <w:pPr>
              <w:jc w:val="both"/>
            </w:pPr>
          </w:p>
          <w:p w:rsidR="00F71132" w:rsidRPr="00F71132" w:rsidRDefault="00F71132" w:rsidP="00CB7EF1">
            <w:pPr>
              <w:jc w:val="both"/>
            </w:pPr>
          </w:p>
          <w:p w:rsidR="00F71132" w:rsidRPr="00F71132" w:rsidRDefault="00F71132" w:rsidP="00CB7EF1">
            <w:pPr>
              <w:jc w:val="both"/>
            </w:pPr>
            <w:r w:rsidRPr="00F71132">
              <w:rPr>
                <w:smallCaps/>
              </w:rPr>
              <w:t>La juge Côté</w:t>
            </w:r>
            <w:r w:rsidRPr="00F71132">
              <w:t xml:space="preserve"> </w:t>
            </w:r>
            <w:r w:rsidRPr="00F71132">
              <w:rPr>
                <w:rFonts w:cs="Times New Roman"/>
              </w:rPr>
              <w:t xml:space="preserve">— </w:t>
            </w:r>
            <w:r w:rsidRPr="00F71132">
              <w:t xml:space="preserve">Ayant examiné les motifs, rendus oralement, de la juge du procès pour déterminer si le verdict a été vicié par un raisonnement illogique ou irrationnel au sens des arrêts </w:t>
            </w:r>
            <w:r w:rsidRPr="00F71132">
              <w:rPr>
                <w:i/>
              </w:rPr>
              <w:t>R. c. Beaudry</w:t>
            </w:r>
            <w:r w:rsidRPr="00F71132">
              <w:t xml:space="preserve">, 2007 CSC 5, [2007] 1 R.C.S. 190, et </w:t>
            </w:r>
            <w:r w:rsidRPr="00F71132">
              <w:rPr>
                <w:i/>
              </w:rPr>
              <w:t>R. c. Sinclair</w:t>
            </w:r>
            <w:r w:rsidRPr="00F71132">
              <w:t>, 2011 CSC 40, [2011] 3 R.C.S. 3, nous sommes d’avis de rejeter l’appel. Avec égards, même si la juge aurait pu s’exprimer plus clairement par moments, l’appelant ne fait pas voir une erreur révisable, car l’inférence de la juge repose sur toute la preuve. En particulier, il n’y a pas d’erreur révisable à l’égard du témoignage de la plaignante quant à la position de sa voiture au moment de la collision. Ainsi, et essentiellement pour les motifs de la majorité de la Cour d’appel, nous rejetons unanimement l’appel.</w:t>
            </w:r>
          </w:p>
          <w:p w:rsidR="00F71132" w:rsidRPr="00F71132" w:rsidRDefault="00F71132" w:rsidP="00CB7EF1">
            <w:pPr>
              <w:jc w:val="both"/>
            </w:pPr>
          </w:p>
        </w:tc>
        <w:tc>
          <w:tcPr>
            <w:tcW w:w="369" w:type="pct"/>
          </w:tcPr>
          <w:p w:rsidR="00F71132" w:rsidRPr="00F71132" w:rsidRDefault="00F71132" w:rsidP="00CB7EF1">
            <w:pPr>
              <w:jc w:val="center"/>
            </w:pPr>
          </w:p>
        </w:tc>
        <w:tc>
          <w:tcPr>
            <w:tcW w:w="2359" w:type="pct"/>
          </w:tcPr>
          <w:p w:rsidR="00F71132" w:rsidRPr="00F71132" w:rsidRDefault="00F71132" w:rsidP="00CB7EF1">
            <w:pPr>
              <w:jc w:val="center"/>
              <w:rPr>
                <w:lang w:val="en-CA"/>
              </w:rPr>
            </w:pPr>
            <w:r w:rsidRPr="00F71132">
              <w:rPr>
                <w:lang w:val="en-CA"/>
              </w:rPr>
              <w:t>JUDGMENT</w:t>
            </w:r>
          </w:p>
          <w:p w:rsidR="00F71132" w:rsidRPr="00F71132" w:rsidRDefault="00F71132" w:rsidP="00CB7EF1">
            <w:pPr>
              <w:jc w:val="center"/>
              <w:rPr>
                <w:lang w:val="en-CA"/>
              </w:rPr>
            </w:pPr>
          </w:p>
          <w:p w:rsidR="00F71132" w:rsidRPr="00F71132" w:rsidRDefault="00F71132" w:rsidP="00CB7EF1">
            <w:pPr>
              <w:jc w:val="both"/>
              <w:rPr>
                <w:lang w:val="en-CA"/>
              </w:rPr>
            </w:pPr>
            <w:r w:rsidRPr="00F71132">
              <w:rPr>
                <w:lang w:val="en-CA"/>
              </w:rPr>
              <w:t xml:space="preserve">The appeal from the judgment </w:t>
            </w:r>
            <w:bookmarkStart w:id="1" w:name="BM_1_"/>
            <w:bookmarkEnd w:id="1"/>
            <w:r w:rsidRPr="00F71132">
              <w:rPr>
                <w:lang w:val="en-CA"/>
              </w:rPr>
              <w:t xml:space="preserve">of the </w:t>
            </w:r>
            <w:r w:rsidRPr="00F71132">
              <w:rPr>
                <w:lang w:val="en-US"/>
              </w:rPr>
              <w:t>Court of Appeal of Quebec (Québec)</w:t>
            </w:r>
            <w:r w:rsidRPr="00F71132">
              <w:rPr>
                <w:lang w:val="en-CA"/>
              </w:rPr>
              <w:t xml:space="preserve">, Number </w:t>
            </w:r>
            <w:r w:rsidRPr="00F71132">
              <w:rPr>
                <w:lang w:val="en-US"/>
              </w:rPr>
              <w:t xml:space="preserve">200-10-003920-217, </w:t>
            </w:r>
            <w:hyperlink r:id="rId9" w:history="1">
              <w:r w:rsidRPr="00F71132">
                <w:rPr>
                  <w:rStyle w:val="Hyperlink"/>
                  <w:lang w:val="en-US"/>
                </w:rPr>
                <w:t>2023 QCCA 358</w:t>
              </w:r>
            </w:hyperlink>
            <w:r w:rsidRPr="00F71132">
              <w:rPr>
                <w:lang w:val="en-CA"/>
              </w:rPr>
              <w:t xml:space="preserve">, dated </w:t>
            </w:r>
            <w:r w:rsidRPr="00F71132">
              <w:rPr>
                <w:lang w:val="en-US"/>
              </w:rPr>
              <w:t>March 16, 2023</w:t>
            </w:r>
            <w:r w:rsidRPr="00F71132">
              <w:rPr>
                <w:lang w:val="en-CA"/>
              </w:rPr>
              <w:t xml:space="preserve">, was heard on </w:t>
            </w:r>
            <w:r w:rsidRPr="00F71132">
              <w:rPr>
                <w:lang w:val="en-US"/>
              </w:rPr>
              <w:t>March 20, 2024</w:t>
            </w:r>
            <w:r w:rsidRPr="00F71132">
              <w:rPr>
                <w:lang w:val="en-CA"/>
              </w:rPr>
              <w:t>, and the Court on that day delivered the following judgment orally:</w:t>
            </w:r>
          </w:p>
          <w:p w:rsidR="00F71132" w:rsidRPr="00F71132" w:rsidRDefault="00F71132" w:rsidP="00CB7EF1">
            <w:pPr>
              <w:jc w:val="both"/>
              <w:rPr>
                <w:lang w:val="en-CA"/>
              </w:rPr>
            </w:pPr>
          </w:p>
          <w:p w:rsidR="00F71132" w:rsidRPr="00F71132" w:rsidRDefault="00F71132" w:rsidP="00CB7EF1">
            <w:pPr>
              <w:jc w:val="both"/>
              <w:rPr>
                <w:lang w:val="en-CA"/>
              </w:rPr>
            </w:pPr>
            <w:r w:rsidRPr="00F71132">
              <w:rPr>
                <w:lang w:val="en-CA"/>
              </w:rPr>
              <w:t>[</w:t>
            </w:r>
            <w:r w:rsidRPr="00F71132">
              <w:rPr>
                <w:smallCaps/>
                <w:lang w:val="en-CA"/>
              </w:rPr>
              <w:t>translation</w:t>
            </w:r>
            <w:r w:rsidRPr="00F71132">
              <w:rPr>
                <w:lang w:val="en-CA"/>
              </w:rPr>
              <w:t>]</w:t>
            </w:r>
          </w:p>
          <w:p w:rsidR="00F71132" w:rsidRPr="00F71132" w:rsidRDefault="00F71132" w:rsidP="00CB7EF1">
            <w:pPr>
              <w:jc w:val="both"/>
              <w:rPr>
                <w:lang w:val="en-CA"/>
              </w:rPr>
            </w:pPr>
            <w:r w:rsidRPr="00F71132">
              <w:rPr>
                <w:smallCaps/>
                <w:lang w:val="en-US"/>
              </w:rPr>
              <w:t>Côté J.</w:t>
            </w:r>
            <w:r w:rsidRPr="00F71132">
              <w:rPr>
                <w:lang w:val="en-US"/>
              </w:rPr>
              <w:t xml:space="preserve"> </w:t>
            </w:r>
            <w:r w:rsidRPr="00F71132">
              <w:rPr>
                <w:rFonts w:cs="Times New Roman"/>
                <w:lang w:val="en-US"/>
              </w:rPr>
              <w:t xml:space="preserve">— </w:t>
            </w:r>
            <w:r w:rsidRPr="00F71132">
              <w:rPr>
                <w:rFonts w:cs="Times New Roman"/>
                <w:lang w:val="en-CA"/>
              </w:rPr>
              <w:t xml:space="preserve">Having examined the trial judge’s reasons, delivered orally, to determine whether the verdict was vitiated by illogical or irrational reasoning within the meaning of </w:t>
            </w:r>
            <w:r w:rsidRPr="00F71132">
              <w:rPr>
                <w:i/>
                <w:lang w:val="en-CA"/>
              </w:rPr>
              <w:t>R. v. Beaudry</w:t>
            </w:r>
            <w:r w:rsidRPr="00F71132">
              <w:rPr>
                <w:lang w:val="en-CA"/>
              </w:rPr>
              <w:t xml:space="preserve">, 2007 SCC 5, </w:t>
            </w:r>
            <w:r w:rsidRPr="00F71132">
              <w:rPr>
                <w:lang w:val="en-US"/>
              </w:rPr>
              <w:t xml:space="preserve">[2007] 1 S.C.R. 190, </w:t>
            </w:r>
            <w:r w:rsidRPr="00F71132">
              <w:rPr>
                <w:lang w:val="en-CA"/>
              </w:rPr>
              <w:t xml:space="preserve">and </w:t>
            </w:r>
            <w:r w:rsidRPr="00F71132">
              <w:rPr>
                <w:i/>
                <w:lang w:val="en-CA"/>
              </w:rPr>
              <w:t>R. v. Sinclair</w:t>
            </w:r>
            <w:r w:rsidRPr="00F71132">
              <w:rPr>
                <w:lang w:val="en-CA"/>
              </w:rPr>
              <w:t>, 2011 SCC 40, [2011] 3 S.C.R. 3, we would dismiss the appeal. With respect, even though the judge could have expressed herself more clearly at times, the appellant has not shown a reviewable error, because the judge’s inference was based on the whole of the evidence. In particular, there is no reviewable error with regard to the complainant’s testimony about the position of her car at the time of the collision. As a result, and substantially for the reasons of the majority of the Court of Appeal, we unanimously dismiss the appeal.</w:t>
            </w:r>
          </w:p>
          <w:p w:rsidR="00F71132" w:rsidRPr="00F71132" w:rsidRDefault="00F71132" w:rsidP="00CB7EF1">
            <w:pPr>
              <w:jc w:val="both"/>
              <w:rPr>
                <w:lang w:val="en-CA"/>
              </w:rPr>
            </w:pPr>
          </w:p>
          <w:p w:rsidR="00F71132" w:rsidRPr="00F71132" w:rsidRDefault="00F71132" w:rsidP="00CB7EF1">
            <w:pPr>
              <w:jc w:val="both"/>
              <w:rPr>
                <w:lang w:val="en-CA"/>
              </w:rPr>
            </w:pPr>
          </w:p>
        </w:tc>
      </w:tr>
    </w:tbl>
    <w:p w:rsidR="00F71132" w:rsidRPr="00F71132" w:rsidRDefault="00F71132" w:rsidP="00F71132">
      <w:pPr>
        <w:rPr>
          <w:lang w:val="en-US"/>
        </w:rPr>
      </w:pPr>
    </w:p>
    <w:p w:rsidR="00F71132" w:rsidRPr="00F71132" w:rsidRDefault="00F71132" w:rsidP="00F71132">
      <w:pPr>
        <w:jc w:val="center"/>
        <w:rPr>
          <w:lang w:val="en-US"/>
        </w:rPr>
      </w:pPr>
    </w:p>
    <w:p w:rsidR="00F71132" w:rsidRPr="00F71132" w:rsidRDefault="00F71132" w:rsidP="00F71132">
      <w:pPr>
        <w:jc w:val="center"/>
        <w:rPr>
          <w:lang w:val="en-US"/>
        </w:rPr>
      </w:pPr>
    </w:p>
    <w:p w:rsidR="00F71132" w:rsidRPr="00F71132" w:rsidRDefault="00F71132" w:rsidP="00F71132">
      <w:pPr>
        <w:jc w:val="center"/>
        <w:rPr>
          <w:lang w:val="en-US"/>
        </w:rPr>
      </w:pPr>
      <w:r w:rsidRPr="00F71132">
        <w:rPr>
          <w:lang w:val="en-US"/>
        </w:rPr>
        <w:t>J.C.S.C.</w:t>
      </w:r>
    </w:p>
    <w:p w:rsidR="00F71132" w:rsidRPr="00A42D93" w:rsidRDefault="00F71132" w:rsidP="00F71132">
      <w:pPr>
        <w:jc w:val="center"/>
        <w:rPr>
          <w:lang w:val="en-US"/>
        </w:rPr>
      </w:pPr>
      <w:r w:rsidRPr="00F71132">
        <w:rPr>
          <w:lang w:val="en-US"/>
        </w:rPr>
        <w:t>J.S.C.C.</w:t>
      </w:r>
    </w:p>
    <w:p w:rsidR="00904937" w:rsidRPr="001E12E2" w:rsidRDefault="00904937"/>
    <w:sectPr w:rsidR="00904937" w:rsidRPr="001E12E2"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C7303"/>
    <w:rsid w:val="000D1436"/>
    <w:rsid w:val="000F4467"/>
    <w:rsid w:val="00100074"/>
    <w:rsid w:val="001311DA"/>
    <w:rsid w:val="00177E57"/>
    <w:rsid w:val="00196882"/>
    <w:rsid w:val="001A2CF8"/>
    <w:rsid w:val="001D6B8C"/>
    <w:rsid w:val="001E12E2"/>
    <w:rsid w:val="001E5B5A"/>
    <w:rsid w:val="001F1F83"/>
    <w:rsid w:val="00256B56"/>
    <w:rsid w:val="0028675F"/>
    <w:rsid w:val="0029156B"/>
    <w:rsid w:val="002F0B6C"/>
    <w:rsid w:val="00355967"/>
    <w:rsid w:val="0036772A"/>
    <w:rsid w:val="00384384"/>
    <w:rsid w:val="003B2BE1"/>
    <w:rsid w:val="003B3C63"/>
    <w:rsid w:val="003B7306"/>
    <w:rsid w:val="00423C0D"/>
    <w:rsid w:val="00460AFC"/>
    <w:rsid w:val="00467372"/>
    <w:rsid w:val="004B6D25"/>
    <w:rsid w:val="004E69EC"/>
    <w:rsid w:val="004F090E"/>
    <w:rsid w:val="004F7322"/>
    <w:rsid w:val="00535189"/>
    <w:rsid w:val="00582136"/>
    <w:rsid w:val="0058383C"/>
    <w:rsid w:val="005C0397"/>
    <w:rsid w:val="005D218D"/>
    <w:rsid w:val="005D5624"/>
    <w:rsid w:val="006034F1"/>
    <w:rsid w:val="006936F1"/>
    <w:rsid w:val="006D697E"/>
    <w:rsid w:val="00701ABD"/>
    <w:rsid w:val="007740CA"/>
    <w:rsid w:val="00787F6E"/>
    <w:rsid w:val="008029A6"/>
    <w:rsid w:val="008029AC"/>
    <w:rsid w:val="00803557"/>
    <w:rsid w:val="008215C3"/>
    <w:rsid w:val="00842677"/>
    <w:rsid w:val="008714CB"/>
    <w:rsid w:val="00880B14"/>
    <w:rsid w:val="008B5797"/>
    <w:rsid w:val="008C6016"/>
    <w:rsid w:val="008C75A4"/>
    <w:rsid w:val="008F4691"/>
    <w:rsid w:val="00904937"/>
    <w:rsid w:val="00996510"/>
    <w:rsid w:val="009A5FA5"/>
    <w:rsid w:val="009F0F2D"/>
    <w:rsid w:val="00A51442"/>
    <w:rsid w:val="00A51D10"/>
    <w:rsid w:val="00A863F7"/>
    <w:rsid w:val="00AB2201"/>
    <w:rsid w:val="00AD4622"/>
    <w:rsid w:val="00B75CB4"/>
    <w:rsid w:val="00BD4217"/>
    <w:rsid w:val="00C34313"/>
    <w:rsid w:val="00CA3730"/>
    <w:rsid w:val="00D030DA"/>
    <w:rsid w:val="00D056AE"/>
    <w:rsid w:val="00D07EED"/>
    <w:rsid w:val="00D5237B"/>
    <w:rsid w:val="00D568AD"/>
    <w:rsid w:val="00D751FC"/>
    <w:rsid w:val="00D76BDF"/>
    <w:rsid w:val="00E356C7"/>
    <w:rsid w:val="00E53ED9"/>
    <w:rsid w:val="00E64FA7"/>
    <w:rsid w:val="00E7577F"/>
    <w:rsid w:val="00E770CB"/>
    <w:rsid w:val="00F01FC5"/>
    <w:rsid w:val="00F060D9"/>
    <w:rsid w:val="00F25646"/>
    <w:rsid w:val="00F71132"/>
    <w:rsid w:val="00F72014"/>
    <w:rsid w:val="00F837E7"/>
    <w:rsid w:val="00F9518C"/>
    <w:rsid w:val="00FA064D"/>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Hyperlink">
    <w:name w:val="Hyperlink"/>
    <w:basedOn w:val="DefaultParagraphFont"/>
    <w:uiPriority w:val="99"/>
    <w:unhideWhenUsed/>
    <w:rsid w:val="008C6016"/>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oyens.soquij.qc.ca/php/decision.php?ID=3E24BE0FD392342AFD129D705DFC4F94&amp;captchaToken=03AFcWeA7XXuefgbskdholF5-eWKrTt_stu4l-tHz6mL-DvwujRahPEhb22SCw200Dvy7FIHX6q1_NUdKkU7pXZxCDWFXArTTtgHthrnmfu9ius2ke5Kowhc2eOPtyYQwfPWdmcEf7GPKRtHwrawcrnwX6r9YtJy6gGITi_Z8237v-i6qA-EsYrsQmyGu_oU2L5RdA39WD12x7gt0NdDLc5wiepIp2VxtiHWC2q7-nwhpQY8YEKW9WGlJn0pyI_O_3MwX5lSvsCDKzP8JmghFeLqCtL150lHHy72l4aFnFci5MF2V2DMz3RO54nSb76ej9cqTyPVPgySmhmn_YVD30N4JzERuY2meGZ7oeBz1wfQ5DUU-j5nDRqmfbsfMLVYRH6kteoKRq_NXZXUQk8nTzJ5cNPL_EAEef8kc2UrBD7cX0h5u8aPxr9kGQL30K5yO5wjeEQGiP9dJ-Eufy4GhXD3v9_bBO4Jo2TPi4O1Vjtz65EEQeMVqfLFpJMxXVGAvto8c7KbUNI1bypta5hpjqsGvVoR7JZrhkOrcFzS1CiQ3VK5_AdkmFzmekB9athno1WyE6dKqY5ADgvxVfD41KihBjY_0nf7bWs4Vbv6x5PY9h8KbNxg_jCDe_DeTW3thO38g-uEd1xXdvv3cuXJ7HUsAhvhmJ-3GDN_B2bQaBW-CDl8aliaibJiY"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itoyens.soquij.qc.ca/php/decision.php?ID=3E24BE0FD392342AFD129D705DFC4F94&amp;captchaToken=03AFcWeA7XXuefgbskdholF5-eWKrTt_stu4l-tHz6mL-DvwujRahPEhb22SCw200Dvy7FIHX6q1_NUdKkU7pXZxCDWFXArTTtgHthrnmfu9ius2ke5Kowhc2eOPtyYQwfPWdmcEf7GPKRtHwrawcrnwX6r9YtJy6gGITi_Z8237v-i6qA-EsYrsQmyGu_oU2L5RdA39WD12x7gt0NdDLc5wiepIp2VxtiHWC2q7-nwhpQY8YEKW9WGlJn0pyI_O_3MwX5lSvsCDKzP8JmghFeLqCtL150lHHy72l4aFnFci5MF2V2DMz3RO54nSb76ej9cqTyPVPgySmhmn_YVD30N4JzERuY2meGZ7oeBz1wfQ5DUU-j5nDRqmfbsfMLVYRH6kteoKRq_NXZXUQk8nTzJ5cNPL_EAEef8kc2UrBD7cX0h5u8aPxr9kGQL30K5yO5wjeEQGiP9dJ-Eufy4GhXD3v9_bBO4Jo2TPi4O1Vjtz65EEQeMVqfLFpJMxXVGAvto8c7KbUNI1bypta5hpjqsGvVoR7JZrhkOrcFzS1CiQ3VK5_AdkmFzmekB9athno1WyE6dKqY5ADgvxVfD41KihBjY_0nf7bWs4Vbv6x5PY9h8KbNxg_jCDe_DeTW3thO38g-uEd1xXdvv3cuXJ7HUsAhvhmJ-3GDN_B2bQaBW-CDl8aliaibJ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2024-03-21T19:18:00Z</dcterms:created>
  <dcterms:modified xsi:type="dcterms:W3CDTF">2024-04-24T16:51:00Z</dcterms:modified>
</cp:coreProperties>
</file>