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561"/>
        <w:gridCol w:w="1439"/>
        <w:gridCol w:w="3945"/>
      </w:tblGrid>
      <w:tr w:rsidR="00EF72F1" w:rsidTr="009B58B8">
        <w:trPr>
          <w:trHeight w:val="2103"/>
        </w:trPr>
        <w:tc>
          <w:tcPr>
            <w:tcW w:w="5000" w:type="pct"/>
            <w:gridSpan w:val="4"/>
          </w:tcPr>
          <w:p w:rsidR="00EF72F1" w:rsidRDefault="00EF72F1" w:rsidP="001F3E0C">
            <w:pPr>
              <w:pStyle w:val="SCCBold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B25E650" wp14:editId="180151F3">
                  <wp:extent cx="1191895" cy="1638300"/>
                  <wp:effectExtent l="0" t="0" r="8255" b="0"/>
                  <wp:docPr id="2" name="Picture 2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2F1" w:rsidRDefault="00EF72F1" w:rsidP="009764CA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</w:rPr>
              <w:t>SUPREME COURT OF CANADA</w:t>
            </w:r>
          </w:p>
        </w:tc>
      </w:tr>
      <w:tr w:rsidR="00EF72F1" w:rsidRPr="003239DF" w:rsidTr="009B58B8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2078" w:type="pct"/>
            <w:gridSpan w:val="2"/>
          </w:tcPr>
          <w:p w:rsidR="00EF72F1" w:rsidRDefault="00EF72F1" w:rsidP="00FC2782">
            <w:pPr>
              <w:rPr>
                <w:b/>
                <w:smallCaps/>
              </w:rPr>
            </w:pPr>
          </w:p>
          <w:p w:rsidR="00EF72F1" w:rsidRPr="003239DF" w:rsidRDefault="00EF72F1" w:rsidP="00FC2782">
            <w:pPr>
              <w:rPr>
                <w:b/>
                <w:smallCaps/>
              </w:rPr>
            </w:pPr>
            <w:r w:rsidRPr="003239DF">
              <w:rPr>
                <w:b/>
                <w:smallCaps/>
              </w:rPr>
              <w:t>Citation:</w:t>
            </w:r>
            <w:r w:rsidRPr="003239DF">
              <w:t xml:space="preserve"> </w:t>
            </w:r>
            <w:r w:rsidR="00FF2BF3" w:rsidRPr="003239DF">
              <w:t xml:space="preserve">R. </w:t>
            </w:r>
            <w:r w:rsidR="00FF2BF3" w:rsidRPr="003239DF">
              <w:rPr>
                <w:i/>
              </w:rPr>
              <w:t>v.</w:t>
            </w:r>
            <w:r w:rsidR="00FF2BF3" w:rsidRPr="003239DF">
              <w:t xml:space="preserve"> </w:t>
            </w:r>
            <w:r w:rsidR="004F0CB8" w:rsidRPr="00714726">
              <w:t>Hodgson</w:t>
            </w:r>
            <w:r w:rsidR="00FF2BF3" w:rsidRPr="003239DF">
              <w:t>*</w:t>
            </w:r>
          </w:p>
        </w:tc>
        <w:tc>
          <w:tcPr>
            <w:tcW w:w="781" w:type="pct"/>
          </w:tcPr>
          <w:p w:rsidR="00EF72F1" w:rsidRPr="003239DF" w:rsidRDefault="00EF72F1" w:rsidP="00FC2782"/>
        </w:tc>
        <w:tc>
          <w:tcPr>
            <w:tcW w:w="2141" w:type="pct"/>
          </w:tcPr>
          <w:p w:rsidR="00EF72F1" w:rsidRPr="003239DF" w:rsidRDefault="00EF72F1" w:rsidP="00451668">
            <w:pPr>
              <w:rPr>
                <w:b/>
                <w:smallCaps/>
              </w:rPr>
            </w:pPr>
          </w:p>
          <w:p w:rsidR="00EF72F1" w:rsidRPr="003239DF" w:rsidRDefault="00EF72F1" w:rsidP="00647A81">
            <w:r w:rsidRPr="003239DF">
              <w:rPr>
                <w:b/>
                <w:smallCaps/>
              </w:rPr>
              <w:t>Appeal Heard</w:t>
            </w:r>
            <w:r w:rsidR="00FB461D" w:rsidRPr="003239DF">
              <w:rPr>
                <w:b/>
                <w:smallCaps/>
              </w:rPr>
              <w:t xml:space="preserve"> and Judgment Rendered</w:t>
            </w:r>
            <w:r w:rsidRPr="003239DF">
              <w:rPr>
                <w:b/>
                <w:smallCaps/>
              </w:rPr>
              <w:t>:</w:t>
            </w:r>
            <w:r w:rsidRPr="003239DF">
              <w:t xml:space="preserve"> </w:t>
            </w:r>
            <w:r w:rsidR="00FF2BF3" w:rsidRPr="003239DF">
              <w:t>February</w:t>
            </w:r>
            <w:r w:rsidR="00FB461D" w:rsidRPr="003239DF">
              <w:t> </w:t>
            </w:r>
            <w:r w:rsidR="004F0CB8" w:rsidRPr="006221F2">
              <w:t>15</w:t>
            </w:r>
            <w:r w:rsidR="00FF2BF3" w:rsidRPr="006221F2">
              <w:t xml:space="preserve">, </w:t>
            </w:r>
            <w:r w:rsidR="004F0CB8" w:rsidRPr="006221F2">
              <w:t>2024</w:t>
            </w:r>
          </w:p>
          <w:p w:rsidR="00EF72F1" w:rsidRPr="003239DF" w:rsidRDefault="00FB461D">
            <w:r w:rsidRPr="003239DF">
              <w:rPr>
                <w:b/>
                <w:smallCaps/>
              </w:rPr>
              <w:t>Reasons for Judgment</w:t>
            </w:r>
            <w:r w:rsidR="00EF72F1" w:rsidRPr="003239DF">
              <w:rPr>
                <w:b/>
                <w:smallCaps/>
              </w:rPr>
              <w:t>:</w:t>
            </w:r>
            <w:r w:rsidR="00EF72F1" w:rsidRPr="003239DF">
              <w:t xml:space="preserve"> </w:t>
            </w:r>
            <w:r w:rsidRPr="003239DF">
              <w:t>to follow</w:t>
            </w:r>
          </w:p>
          <w:p w:rsidR="00EF72F1" w:rsidRPr="003239DF" w:rsidRDefault="00EF72F1" w:rsidP="00540106">
            <w:r w:rsidRPr="003239DF">
              <w:rPr>
                <w:b/>
                <w:smallCaps/>
              </w:rPr>
              <w:t>Docket:</w:t>
            </w:r>
            <w:r w:rsidRPr="003239DF">
              <w:t xml:space="preserve"> </w:t>
            </w:r>
            <w:r w:rsidR="004F0CB8">
              <w:t>40498</w:t>
            </w:r>
          </w:p>
        </w:tc>
      </w:tr>
      <w:tr w:rsidR="00EF72F1" w:rsidRPr="003239DF" w:rsidTr="009B58B8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EF72F1" w:rsidRPr="003239DF" w:rsidRDefault="00EF72F1" w:rsidP="00EF72F1"/>
          <w:p w:rsidR="0003708F" w:rsidRPr="003239DF" w:rsidRDefault="003239DF">
            <w:pPr>
              <w:pStyle w:val="SCCLsocPrefix"/>
            </w:pPr>
            <w:r w:rsidRPr="003239DF">
              <w:t>Between:</w:t>
            </w:r>
          </w:p>
          <w:p w:rsidR="00FF2BF3" w:rsidRPr="003239DF" w:rsidRDefault="00FF2BF3" w:rsidP="00FF2BF3"/>
          <w:p w:rsidR="0003708F" w:rsidRPr="003239DF" w:rsidRDefault="004F0CB8">
            <w:pPr>
              <w:pStyle w:val="SCCLsocParty"/>
            </w:pPr>
            <w:r>
              <w:t>Daniel Hodgson</w:t>
            </w:r>
          </w:p>
          <w:p w:rsidR="0003708F" w:rsidRPr="003239DF" w:rsidRDefault="002A3615">
            <w:pPr>
              <w:pStyle w:val="SCCLsocPartyRole"/>
            </w:pPr>
            <w:r w:rsidRPr="003239DF">
              <w:t>Appellant</w:t>
            </w:r>
          </w:p>
          <w:p w:rsidR="0003708F" w:rsidRPr="003239DF" w:rsidRDefault="0003708F"/>
          <w:p w:rsidR="0003708F" w:rsidRPr="003239DF" w:rsidRDefault="00FD5E4C">
            <w:pPr>
              <w:pStyle w:val="SCCLsocVersus"/>
            </w:pPr>
            <w:r w:rsidRPr="003239DF">
              <w:t>and</w:t>
            </w:r>
          </w:p>
          <w:p w:rsidR="0003708F" w:rsidRPr="003239DF" w:rsidRDefault="0003708F"/>
          <w:p w:rsidR="0003708F" w:rsidRPr="003239DF" w:rsidRDefault="00FD5E4C">
            <w:pPr>
              <w:pStyle w:val="SCCLsocParty"/>
            </w:pPr>
            <w:r w:rsidRPr="003239DF">
              <w:t>His Majesty T</w:t>
            </w:r>
            <w:r w:rsidR="003239DF" w:rsidRPr="003239DF">
              <w:t>he King</w:t>
            </w:r>
          </w:p>
          <w:p w:rsidR="0003708F" w:rsidRDefault="003239DF">
            <w:pPr>
              <w:pStyle w:val="SCCLsocPartyRole"/>
            </w:pPr>
            <w:r w:rsidRPr="003239DF">
              <w:t>Respondent</w:t>
            </w:r>
          </w:p>
          <w:p w:rsidR="004F0CB8" w:rsidRDefault="004F0CB8" w:rsidP="004F0CB8"/>
          <w:p w:rsidR="004F0CB8" w:rsidRPr="002B56E8" w:rsidRDefault="004F0CB8" w:rsidP="004F0CB8">
            <w:pPr>
              <w:jc w:val="center"/>
              <w:rPr>
                <w:color w:val="000000"/>
                <w:lang w:val="en-US"/>
              </w:rPr>
            </w:pPr>
            <w:r w:rsidRPr="002B56E8">
              <w:rPr>
                <w:color w:val="000000"/>
                <w:lang w:val="en-US"/>
              </w:rPr>
              <w:t>- and -</w:t>
            </w:r>
          </w:p>
          <w:p w:rsidR="004F0CB8" w:rsidRPr="002B56E8" w:rsidRDefault="004F0CB8" w:rsidP="004F0CB8">
            <w:pPr>
              <w:rPr>
                <w:color w:val="000000"/>
                <w:lang w:val="en-US"/>
              </w:rPr>
            </w:pPr>
          </w:p>
          <w:p w:rsidR="004F0CB8" w:rsidRPr="002B56E8" w:rsidRDefault="004F0CB8" w:rsidP="004F0CB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Attorney General of Ontario</w:t>
            </w:r>
            <w:r w:rsidRPr="002B56E8">
              <w:rPr>
                <w:b/>
                <w:bCs/>
                <w:color w:val="000000"/>
                <w:lang w:val="en-US"/>
              </w:rPr>
              <w:t xml:space="preserve"> and </w:t>
            </w:r>
            <w:r w:rsidRPr="00F53E0F">
              <w:rPr>
                <w:b/>
                <w:bCs/>
                <w:color w:val="000000"/>
                <w:lang w:val="en-US"/>
              </w:rPr>
              <w:t>Criminal Trial Lawyers</w:t>
            </w:r>
            <w:r>
              <w:rPr>
                <w:b/>
                <w:bCs/>
                <w:color w:val="000000"/>
                <w:lang w:val="en-US"/>
              </w:rPr>
              <w:t>’</w:t>
            </w:r>
            <w:r w:rsidRPr="00F53E0F">
              <w:rPr>
                <w:b/>
                <w:bCs/>
                <w:color w:val="000000"/>
                <w:lang w:val="en-US"/>
              </w:rPr>
              <w:t xml:space="preserve"> Association</w:t>
            </w:r>
          </w:p>
          <w:p w:rsidR="004F0CB8" w:rsidRPr="004F0CB8" w:rsidRDefault="004F0CB8" w:rsidP="004F0CB8">
            <w:pPr>
              <w:jc w:val="center"/>
              <w:rPr>
                <w:color w:val="000000"/>
                <w:lang w:val="en-US"/>
              </w:rPr>
            </w:pPr>
            <w:r w:rsidRPr="002B56E8">
              <w:rPr>
                <w:color w:val="000000"/>
                <w:lang w:val="en-US"/>
              </w:rPr>
              <w:t>Interveners</w:t>
            </w:r>
          </w:p>
          <w:p w:rsidR="00843369" w:rsidRPr="003239DF" w:rsidRDefault="00843369" w:rsidP="00EF72F1"/>
          <w:p w:rsidR="00FF2BF3" w:rsidRPr="003239DF" w:rsidRDefault="00FF2BF3" w:rsidP="00FD5E4C">
            <w:pPr>
              <w:jc w:val="center"/>
              <w:rPr>
                <w:b/>
                <w:smallCaps/>
              </w:rPr>
            </w:pPr>
          </w:p>
          <w:p w:rsidR="00EF72F1" w:rsidRPr="003239DF" w:rsidRDefault="00EF72F1" w:rsidP="00FF2BF3">
            <w:pPr>
              <w:rPr>
                <w:b/>
                <w:smallCaps/>
              </w:rPr>
            </w:pPr>
          </w:p>
        </w:tc>
      </w:tr>
      <w:tr w:rsidR="00FF2BF3" w:rsidRPr="003239DF" w:rsidTr="006221F2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  <w:trHeight w:val="504"/>
        </w:trPr>
        <w:tc>
          <w:tcPr>
            <w:tcW w:w="5000" w:type="pct"/>
            <w:gridSpan w:val="4"/>
          </w:tcPr>
          <w:p w:rsidR="00FF2BF3" w:rsidRPr="003239DF" w:rsidRDefault="00FF2BF3" w:rsidP="00F45A93">
            <w:pPr>
              <w:spacing w:before="120"/>
            </w:pPr>
            <w:r w:rsidRPr="003239DF">
              <w:rPr>
                <w:b/>
                <w:smallCaps/>
              </w:rPr>
              <w:t>Coram</w:t>
            </w:r>
            <w:r w:rsidRPr="003239DF">
              <w:rPr>
                <w:b/>
              </w:rPr>
              <w:t>:</w:t>
            </w:r>
            <w:r w:rsidRPr="003239DF">
              <w:t xml:space="preserve"> </w:t>
            </w:r>
            <w:r w:rsidR="006221F2" w:rsidRPr="00F23E36">
              <w:rPr>
                <w:lang w:val="en-US"/>
              </w:rPr>
              <w:t xml:space="preserve">Wagner C.J. and Karakatsanis, Côté, </w:t>
            </w:r>
            <w:r w:rsidR="006221F2">
              <w:rPr>
                <w:lang w:val="en-US"/>
              </w:rPr>
              <w:t xml:space="preserve">Rowe, Martin, Kasirer, Jamal, </w:t>
            </w:r>
            <w:r w:rsidR="006221F2" w:rsidRPr="00F23E36">
              <w:rPr>
                <w:lang w:val="en-US"/>
              </w:rPr>
              <w:t>O</w:t>
            </w:r>
            <w:r w:rsidR="006221F2">
              <w:rPr>
                <w:lang w:val="en-US"/>
              </w:rPr>
              <w:t>’</w:t>
            </w:r>
            <w:r w:rsidR="006221F2" w:rsidRPr="00F23E36">
              <w:rPr>
                <w:lang w:val="en-US"/>
              </w:rPr>
              <w:t xml:space="preserve">Bonsawin and </w:t>
            </w:r>
            <w:r w:rsidR="006221F2">
              <w:rPr>
                <w:lang w:val="en-US"/>
              </w:rPr>
              <w:t xml:space="preserve">Moreau </w:t>
            </w:r>
            <w:r w:rsidR="006221F2" w:rsidRPr="00F23E36">
              <w:rPr>
                <w:lang w:val="en-US"/>
              </w:rPr>
              <w:t>JJ.</w:t>
            </w:r>
          </w:p>
        </w:tc>
      </w:tr>
      <w:tr w:rsidR="00FF2BF3" w:rsidRPr="003239DF" w:rsidTr="00FF2BF3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  <w:trHeight w:val="504"/>
        </w:trPr>
        <w:tc>
          <w:tcPr>
            <w:tcW w:w="1231" w:type="pct"/>
          </w:tcPr>
          <w:p w:rsidR="00FD5E4C" w:rsidRPr="00FD5E4C" w:rsidRDefault="006221F2" w:rsidP="00FD5E4C">
            <w:pPr>
              <w:spacing w:before="120"/>
              <w:rPr>
                <w:rFonts w:eastAsia="Times New Roman" w:cs="Times New Roman"/>
                <w:smallCaps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smallCaps/>
                <w:color w:val="000000"/>
                <w:szCs w:val="20"/>
                <w:lang w:eastAsia="en-CA"/>
              </w:rPr>
              <w:t xml:space="preserve">Unanimous </w:t>
            </w:r>
            <w:r w:rsidR="00FD5E4C" w:rsidRPr="003239DF">
              <w:rPr>
                <w:rFonts w:eastAsia="Times New Roman" w:cs="Times New Roman"/>
                <w:b/>
                <w:bCs/>
                <w:smallCaps/>
                <w:color w:val="000000"/>
                <w:szCs w:val="20"/>
                <w:lang w:eastAsia="en-CA"/>
              </w:rPr>
              <w:t>Judgment Read By</w:t>
            </w:r>
            <w:r w:rsidR="00FD5E4C" w:rsidRPr="00FD5E4C">
              <w:rPr>
                <w:rFonts w:eastAsia="Times New Roman" w:cs="Times New Roman"/>
                <w:b/>
                <w:bCs/>
                <w:smallCaps/>
                <w:color w:val="000000"/>
                <w:szCs w:val="20"/>
                <w:lang w:eastAsia="en-CA"/>
              </w:rPr>
              <w:t>:</w:t>
            </w:r>
          </w:p>
          <w:p w:rsidR="00FF2BF3" w:rsidRPr="003239DF" w:rsidRDefault="00FD5E4C" w:rsidP="00FD5E4C">
            <w:r w:rsidRPr="003239DF">
              <w:rPr>
                <w:rFonts w:eastAsia="Times New Roman" w:cs="Times New Roman"/>
                <w:szCs w:val="20"/>
                <w:lang w:eastAsia="en-CA"/>
              </w:rPr>
              <w:t>(para. </w:t>
            </w:r>
            <w:r w:rsidR="006221F2">
              <w:rPr>
                <w:rFonts w:eastAsia="Times New Roman" w:cs="Times New Roman"/>
                <w:szCs w:val="20"/>
                <w:lang w:eastAsia="en-CA"/>
              </w:rPr>
              <w:t>1</w:t>
            </w:r>
            <w:r w:rsidRPr="003239DF">
              <w:rPr>
                <w:rFonts w:eastAsia="Times New Roman" w:cs="Times New Roman"/>
                <w:szCs w:val="20"/>
                <w:lang w:eastAsia="en-CA"/>
              </w:rPr>
              <w:t>)</w:t>
            </w:r>
          </w:p>
        </w:tc>
        <w:tc>
          <w:tcPr>
            <w:tcW w:w="3769" w:type="pct"/>
            <w:gridSpan w:val="3"/>
          </w:tcPr>
          <w:p w:rsidR="00FF2BF3" w:rsidRPr="003239DF" w:rsidRDefault="006221F2" w:rsidP="00FD5E4C">
            <w:pPr>
              <w:spacing w:before="120"/>
            </w:pPr>
            <w:r>
              <w:t>Wagner C.J.</w:t>
            </w:r>
          </w:p>
        </w:tc>
      </w:tr>
      <w:tr w:rsidR="00FF2BF3" w:rsidRPr="003239DF" w:rsidTr="006221F2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FD5E4C" w:rsidRPr="00FD5E4C" w:rsidRDefault="00FD5E4C" w:rsidP="00550DDF">
            <w:pPr>
              <w:spacing w:before="120"/>
              <w:rPr>
                <w:rFonts w:eastAsia="Times New Roman" w:cs="Times New Roman"/>
                <w:b/>
                <w:smallCaps/>
                <w:szCs w:val="20"/>
                <w:lang w:eastAsia="en-CA"/>
              </w:rPr>
            </w:pPr>
            <w:r w:rsidRPr="00FD5E4C">
              <w:rPr>
                <w:rFonts w:eastAsia="Times New Roman" w:cs="Times New Roman"/>
                <w:b/>
                <w:smallCaps/>
                <w:szCs w:val="20"/>
                <w:lang w:eastAsia="en-CA"/>
              </w:rPr>
              <w:lastRenderedPageBreak/>
              <w:t>Counsel:</w:t>
            </w:r>
          </w:p>
          <w:p w:rsidR="00FF2BF3" w:rsidRPr="003239DF" w:rsidRDefault="00FF2BF3" w:rsidP="00FF2BF3"/>
          <w:p w:rsidR="00FF2BF3" w:rsidRPr="003239DF" w:rsidRDefault="004F0CB8" w:rsidP="00FF2BF3">
            <w:r>
              <w:rPr>
                <w:rStyle w:val="SCCCounselNameChar"/>
                <w:rFonts w:eastAsiaTheme="minorHAnsi"/>
              </w:rPr>
              <w:t>Michael Lacy</w:t>
            </w:r>
            <w:r w:rsidRPr="002A2167">
              <w:rPr>
                <w:rStyle w:val="SCCCounselNameChar"/>
                <w:rFonts w:eastAsiaTheme="minorHAnsi"/>
              </w:rPr>
              <w:t xml:space="preserve"> </w:t>
            </w:r>
            <w:r>
              <w:rPr>
                <w:rStyle w:val="SCCCounselNameChar"/>
                <w:rFonts w:eastAsiaTheme="minorHAnsi"/>
                <w:i w:val="0"/>
              </w:rPr>
              <w:t>and</w:t>
            </w:r>
            <w:r w:rsidRPr="002A2167">
              <w:rPr>
                <w:rStyle w:val="SCCCounselNameChar"/>
                <w:rFonts w:eastAsiaTheme="minorHAnsi"/>
                <w:i w:val="0"/>
              </w:rPr>
              <w:t xml:space="preserve"> </w:t>
            </w:r>
            <w:r>
              <w:rPr>
                <w:rStyle w:val="SCCCounselNameChar"/>
                <w:rFonts w:eastAsiaTheme="minorHAnsi"/>
              </w:rPr>
              <w:t>Marcela Ahumada</w:t>
            </w:r>
            <w:r w:rsidR="002A3615" w:rsidRPr="003239DF">
              <w:t>, for the appellant.</w:t>
            </w:r>
          </w:p>
          <w:p w:rsidR="00FF2BF3" w:rsidRDefault="004F0CB8" w:rsidP="00FF2BF3">
            <w:r>
              <w:rPr>
                <w:rStyle w:val="SCCCounselNameChar"/>
                <w:rFonts w:eastAsiaTheme="minorHAnsi"/>
              </w:rPr>
              <w:t xml:space="preserve">Julie Laborde </w:t>
            </w:r>
            <w:r>
              <w:rPr>
                <w:rStyle w:val="SCCCounselNameChar"/>
                <w:rFonts w:eastAsiaTheme="minorHAnsi"/>
                <w:i w:val="0"/>
              </w:rPr>
              <w:t xml:space="preserve">and </w:t>
            </w:r>
            <w:r>
              <w:rPr>
                <w:rStyle w:val="SCCCounselNameChar"/>
                <w:rFonts w:eastAsiaTheme="minorHAnsi"/>
              </w:rPr>
              <w:t>Brendan Green</w:t>
            </w:r>
            <w:r w:rsidR="00FF2BF3" w:rsidRPr="003239DF">
              <w:t>, for the respondent</w:t>
            </w:r>
            <w:r w:rsidR="00C53971" w:rsidRPr="003239DF">
              <w:t>.</w:t>
            </w:r>
          </w:p>
          <w:p w:rsidR="004F0CB8" w:rsidRPr="00E15C60" w:rsidRDefault="004F0CB8" w:rsidP="004F0CB8">
            <w:pPr>
              <w:jc w:val="both"/>
            </w:pPr>
            <w:r>
              <w:rPr>
                <w:i/>
              </w:rPr>
              <w:t>Manasvin</w:t>
            </w:r>
            <w:bookmarkStart w:id="0" w:name="_GoBack"/>
            <w:bookmarkEnd w:id="0"/>
            <w:r>
              <w:rPr>
                <w:i/>
              </w:rPr>
              <w:t xml:space="preserve"> Goswami</w:t>
            </w:r>
            <w:r w:rsidRPr="00F53E0F">
              <w:t xml:space="preserve">, for the </w:t>
            </w:r>
            <w:r w:rsidRPr="00E15C60">
              <w:t>intervener the Attorney General of Ontario.</w:t>
            </w:r>
          </w:p>
          <w:p w:rsidR="004F0CB8" w:rsidRPr="003239DF" w:rsidRDefault="004F0CB8" w:rsidP="004F0CB8">
            <w:pPr>
              <w:jc w:val="both"/>
            </w:pPr>
            <w:r w:rsidRPr="00E15C60">
              <w:rPr>
                <w:i/>
              </w:rPr>
              <w:t xml:space="preserve">Stacey M. Purser </w:t>
            </w:r>
            <w:r w:rsidRPr="00E15C60">
              <w:t>and</w:t>
            </w:r>
            <w:r w:rsidRPr="00E15C60">
              <w:rPr>
                <w:i/>
              </w:rPr>
              <w:t xml:space="preserve"> Daniel J. Song</w:t>
            </w:r>
            <w:r w:rsidRPr="009914A4">
              <w:t>,</w:t>
            </w:r>
            <w:r w:rsidRPr="00E15C60">
              <w:rPr>
                <w:i/>
              </w:rPr>
              <w:t xml:space="preserve"> K.C.</w:t>
            </w:r>
            <w:r w:rsidRPr="00E15C60">
              <w:t>, for the</w:t>
            </w:r>
            <w:r w:rsidRPr="00F53E0F">
              <w:t xml:space="preserve"> intervener the Criminal Trial Lawyers</w:t>
            </w:r>
            <w:r>
              <w:t>’</w:t>
            </w:r>
            <w:r w:rsidRPr="00F53E0F">
              <w:t xml:space="preserve"> Association.</w:t>
            </w:r>
          </w:p>
          <w:p w:rsidR="003239DF" w:rsidRPr="003239DF" w:rsidRDefault="003239DF" w:rsidP="00FF2BF3"/>
        </w:tc>
      </w:tr>
    </w:tbl>
    <w:p w:rsidR="001B299D" w:rsidRPr="003239DF" w:rsidRDefault="001B299D" w:rsidP="001B299D"/>
    <w:p w:rsidR="00904937" w:rsidRPr="003239DF" w:rsidRDefault="00904937" w:rsidP="00076773">
      <w:pPr>
        <w:pStyle w:val="SCCBold"/>
        <w:rPr>
          <w:b w:val="0"/>
        </w:rPr>
      </w:pPr>
      <w:r w:rsidRPr="003239DF">
        <w:rPr>
          <w:smallCaps/>
        </w:rPr>
        <w:t>Note:</w:t>
      </w:r>
      <w:r w:rsidRPr="003239DF">
        <w:t xml:space="preserve"> </w:t>
      </w:r>
      <w:r w:rsidRPr="003239DF">
        <w:rPr>
          <w:b w:val="0"/>
        </w:rPr>
        <w:t>This do</w:t>
      </w:r>
      <w:r w:rsidR="009E7065" w:rsidRPr="003239DF">
        <w:rPr>
          <w:b w:val="0"/>
        </w:rPr>
        <w:t>c</w:t>
      </w:r>
      <w:r w:rsidRPr="003239DF">
        <w:rPr>
          <w:b w:val="0"/>
        </w:rPr>
        <w:t xml:space="preserve">ument is subject to editorial revision before its reproduction in final form in the </w:t>
      </w:r>
      <w:r w:rsidRPr="003239DF">
        <w:rPr>
          <w:b w:val="0"/>
          <w:i/>
        </w:rPr>
        <w:t>Canada Supreme Court Reports</w:t>
      </w:r>
      <w:r w:rsidRPr="003239DF">
        <w:rPr>
          <w:b w:val="0"/>
        </w:rPr>
        <w:t>.</w:t>
      </w:r>
    </w:p>
    <w:p w:rsidR="00C53971" w:rsidRPr="003239DF" w:rsidRDefault="00C53971" w:rsidP="00C53971"/>
    <w:p w:rsidR="00C53971" w:rsidRPr="00C53971" w:rsidRDefault="00C53971" w:rsidP="00C53971">
      <w:r w:rsidRPr="003239DF">
        <w:t>* Neutral citation to follow.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087E50" w:rsidTr="003375C9">
        <w:tc>
          <w:tcPr>
            <w:tcW w:w="1500" w:type="pct"/>
            <w:tcMar>
              <w:top w:w="284" w:type="dxa"/>
            </w:tcMar>
          </w:tcPr>
          <w:p w:rsidR="00087E50" w:rsidRDefault="00087E50" w:rsidP="003375C9">
            <w:pPr>
              <w:rPr>
                <w:rFonts w:eastAsia="Calibri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087E50" w:rsidRDefault="00087E50" w:rsidP="003375C9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087E50" w:rsidRDefault="00087E50" w:rsidP="003375C9">
            <w:pPr>
              <w:rPr>
                <w:rFonts w:eastAsia="Calibri"/>
              </w:rPr>
            </w:pPr>
          </w:p>
        </w:tc>
      </w:tr>
    </w:tbl>
    <w:p w:rsidR="006419FA" w:rsidRDefault="006419FA"/>
    <w:p w:rsidR="006419FA" w:rsidRDefault="006419FA" w:rsidP="006419FA">
      <w:r>
        <w:br w:type="page"/>
      </w:r>
    </w:p>
    <w:p w:rsidR="006419FA" w:rsidRPr="00FE22F9" w:rsidRDefault="006419FA" w:rsidP="006419FA">
      <w:pPr>
        <w:jc w:val="right"/>
      </w:pPr>
      <w:r w:rsidRPr="00FE22F9">
        <w:t xml:space="preserve">No. </w:t>
      </w:r>
      <w:r>
        <w:t>40498</w:t>
      </w:r>
      <w:r w:rsidRPr="00FE22F9">
        <w:t>     </w:t>
      </w:r>
    </w:p>
    <w:p w:rsidR="006419FA" w:rsidRPr="00FE22F9" w:rsidRDefault="006419FA" w:rsidP="006419FA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6419FA" w:rsidRPr="00FE22F9" w:rsidTr="00B328FE">
        <w:tc>
          <w:tcPr>
            <w:tcW w:w="2269" w:type="pct"/>
          </w:tcPr>
          <w:p w:rsidR="006419FA" w:rsidRPr="00FE22F9" w:rsidRDefault="006419FA" w:rsidP="00B328FE">
            <w:r>
              <w:t>February 16, 2024</w:t>
            </w:r>
          </w:p>
        </w:tc>
        <w:tc>
          <w:tcPr>
            <w:tcW w:w="381" w:type="pct"/>
          </w:tcPr>
          <w:p w:rsidR="006419FA" w:rsidRPr="00FE22F9" w:rsidRDefault="006419FA" w:rsidP="00B328FE"/>
        </w:tc>
        <w:tc>
          <w:tcPr>
            <w:tcW w:w="2350" w:type="pct"/>
          </w:tcPr>
          <w:p w:rsidR="006419FA" w:rsidRPr="001F46B4" w:rsidRDefault="006419FA" w:rsidP="00B328FE">
            <w:pPr>
              <w:rPr>
                <w:lang w:val="en-US"/>
              </w:rPr>
            </w:pPr>
            <w:r>
              <w:t>Le 16 février 2024</w:t>
            </w:r>
          </w:p>
        </w:tc>
      </w:tr>
      <w:tr w:rsidR="006419FA" w:rsidRPr="00FE22F9" w:rsidTr="00B328FE">
        <w:tc>
          <w:tcPr>
            <w:tcW w:w="2269" w:type="pct"/>
            <w:tcMar>
              <w:top w:w="0" w:type="dxa"/>
              <w:bottom w:w="0" w:type="dxa"/>
            </w:tcMar>
          </w:tcPr>
          <w:p w:rsidR="006419FA" w:rsidRPr="00FE22F9" w:rsidRDefault="006419FA" w:rsidP="00B328FE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6419FA" w:rsidRPr="00FE22F9" w:rsidRDefault="006419FA" w:rsidP="00B328FE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6419FA" w:rsidRPr="001F46B4" w:rsidRDefault="006419FA" w:rsidP="00B328FE">
            <w:pPr>
              <w:rPr>
                <w:lang w:val="en-US"/>
              </w:rPr>
            </w:pPr>
          </w:p>
        </w:tc>
      </w:tr>
      <w:tr w:rsidR="006419FA" w:rsidRPr="00EC0692" w:rsidTr="00B328FE">
        <w:tc>
          <w:tcPr>
            <w:tcW w:w="2269" w:type="pct"/>
          </w:tcPr>
          <w:p w:rsidR="006419FA" w:rsidRPr="00FE22F9" w:rsidRDefault="006419FA" w:rsidP="00B328FE">
            <w:r w:rsidRPr="00FE22F9">
              <w:t>Coram:</w:t>
            </w:r>
            <w:r>
              <w:t xml:space="preserve"> </w:t>
            </w:r>
            <w:r w:rsidRPr="00F23E36">
              <w:rPr>
                <w:lang w:val="en-US"/>
              </w:rPr>
              <w:t xml:space="preserve">Wagner C.J. and Karakatsanis, Côté, </w:t>
            </w:r>
            <w:r>
              <w:rPr>
                <w:lang w:val="en-US"/>
              </w:rPr>
              <w:t xml:space="preserve">Rowe, Martin, Kasirer, Jamal, </w:t>
            </w:r>
            <w:r w:rsidRPr="00F23E36">
              <w:rPr>
                <w:lang w:val="en-US"/>
              </w:rPr>
              <w:t>O</w:t>
            </w:r>
            <w:r>
              <w:rPr>
                <w:lang w:val="en-US"/>
              </w:rPr>
              <w:t>’</w:t>
            </w:r>
            <w:r w:rsidRPr="00F23E36">
              <w:rPr>
                <w:lang w:val="en-US"/>
              </w:rPr>
              <w:t xml:space="preserve">Bonsawin and </w:t>
            </w:r>
            <w:r>
              <w:rPr>
                <w:lang w:val="en-US"/>
              </w:rPr>
              <w:t xml:space="preserve">Moreau </w:t>
            </w:r>
            <w:r w:rsidRPr="00F23E36">
              <w:rPr>
                <w:lang w:val="en-US"/>
              </w:rPr>
              <w:t>JJ.</w:t>
            </w:r>
          </w:p>
        </w:tc>
        <w:tc>
          <w:tcPr>
            <w:tcW w:w="381" w:type="pct"/>
          </w:tcPr>
          <w:p w:rsidR="006419FA" w:rsidRPr="00FE22F9" w:rsidRDefault="006419FA" w:rsidP="00B328FE"/>
        </w:tc>
        <w:tc>
          <w:tcPr>
            <w:tcW w:w="2350" w:type="pct"/>
          </w:tcPr>
          <w:p w:rsidR="006419FA" w:rsidRPr="00FE22F9" w:rsidRDefault="006419FA" w:rsidP="00B328FE">
            <w:pPr>
              <w:rPr>
                <w:lang w:val="fr-CA"/>
              </w:rPr>
            </w:pPr>
            <w:r w:rsidRPr="00FE22F9">
              <w:rPr>
                <w:lang w:val="fr-CA"/>
              </w:rPr>
              <w:t xml:space="preserve">Coram : </w:t>
            </w:r>
            <w:r w:rsidRPr="00FD7563">
              <w:rPr>
                <w:lang w:val="fr-CA"/>
              </w:rPr>
              <w:t xml:space="preserve">Le juge en chef Wagner et les juges Karakatsanis, Côté, </w:t>
            </w:r>
            <w:r>
              <w:rPr>
                <w:lang w:val="fr-CA"/>
              </w:rPr>
              <w:t xml:space="preserve">Rowe, Martin, Kasirer, Jamal, </w:t>
            </w:r>
            <w:r w:rsidRPr="00FD7563">
              <w:rPr>
                <w:lang w:val="fr-CA"/>
              </w:rPr>
              <w:t>O</w:t>
            </w:r>
            <w:r>
              <w:rPr>
                <w:lang w:val="fr-CA"/>
              </w:rPr>
              <w:t>’</w:t>
            </w:r>
            <w:r w:rsidRPr="00FD7563">
              <w:rPr>
                <w:lang w:val="fr-CA"/>
              </w:rPr>
              <w:t>Bonsawin</w:t>
            </w:r>
            <w:r>
              <w:rPr>
                <w:lang w:val="fr-CA"/>
              </w:rPr>
              <w:t xml:space="preserve"> et Moreau</w:t>
            </w:r>
          </w:p>
        </w:tc>
      </w:tr>
      <w:tr w:rsidR="006419FA" w:rsidRPr="00EC0692" w:rsidTr="00B328FE">
        <w:tc>
          <w:tcPr>
            <w:tcW w:w="2269" w:type="pct"/>
            <w:tcMar>
              <w:top w:w="0" w:type="dxa"/>
              <w:bottom w:w="0" w:type="dxa"/>
            </w:tcMar>
          </w:tcPr>
          <w:p w:rsidR="006419FA" w:rsidRPr="00FD7563" w:rsidRDefault="006419FA" w:rsidP="00B328FE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6419FA" w:rsidRPr="00FD7563" w:rsidRDefault="006419FA" w:rsidP="00B328FE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6419FA" w:rsidRPr="00FE22F9" w:rsidRDefault="006419FA" w:rsidP="00B328FE">
            <w:pPr>
              <w:rPr>
                <w:lang w:val="fr-CA"/>
              </w:rPr>
            </w:pPr>
          </w:p>
        </w:tc>
      </w:tr>
      <w:tr w:rsidR="006419FA" w:rsidRPr="00FE22F9" w:rsidTr="00B328FE">
        <w:tc>
          <w:tcPr>
            <w:tcW w:w="2269" w:type="pct"/>
          </w:tcPr>
          <w:p w:rsidR="006419FA" w:rsidRPr="00FD7563" w:rsidRDefault="006419FA" w:rsidP="00B328FE">
            <w:pPr>
              <w:rPr>
                <w:lang w:val="fr-CA"/>
              </w:rPr>
            </w:pPr>
          </w:p>
          <w:p w:rsidR="006419FA" w:rsidRDefault="006419FA" w:rsidP="00B328FE">
            <w:pPr>
              <w:pStyle w:val="SCCLsocPrefix"/>
            </w:pPr>
            <w:r>
              <w:t>BETWEEN:</w:t>
            </w:r>
          </w:p>
          <w:p w:rsidR="006419FA" w:rsidRPr="006419FA" w:rsidRDefault="006419FA" w:rsidP="00B328FE">
            <w:pPr>
              <w:pStyle w:val="SCCLsocParty"/>
              <w:rPr>
                <w:b w:val="0"/>
              </w:rPr>
            </w:pPr>
            <w:r w:rsidRPr="006419FA">
              <w:rPr>
                <w:b w:val="0"/>
              </w:rPr>
              <w:t>Daniel Hodgson</w:t>
            </w:r>
            <w:r w:rsidRPr="006419FA">
              <w:rPr>
                <w:b w:val="0"/>
              </w:rPr>
              <w:br/>
            </w:r>
          </w:p>
          <w:p w:rsidR="006419FA" w:rsidRPr="006419FA" w:rsidRDefault="006419FA" w:rsidP="00B328FE">
            <w:pPr>
              <w:pStyle w:val="SCCLsocPartyRole"/>
            </w:pPr>
            <w:r w:rsidRPr="006419FA">
              <w:t>Appellant</w:t>
            </w:r>
            <w:r w:rsidRPr="006419FA">
              <w:br/>
            </w:r>
          </w:p>
          <w:p w:rsidR="006419FA" w:rsidRPr="006419FA" w:rsidRDefault="006419FA" w:rsidP="00B328FE">
            <w:pPr>
              <w:pStyle w:val="SCCLsocVersus"/>
            </w:pPr>
            <w:r w:rsidRPr="006419FA">
              <w:t>- and -</w:t>
            </w:r>
          </w:p>
          <w:p w:rsidR="006419FA" w:rsidRPr="006419FA" w:rsidRDefault="006419FA" w:rsidP="00B328FE"/>
          <w:p w:rsidR="006419FA" w:rsidRPr="006419FA" w:rsidRDefault="006419FA" w:rsidP="00B328FE">
            <w:pPr>
              <w:pStyle w:val="SCCLsocParty"/>
              <w:rPr>
                <w:b w:val="0"/>
              </w:rPr>
            </w:pPr>
            <w:r w:rsidRPr="006419FA">
              <w:rPr>
                <w:b w:val="0"/>
              </w:rPr>
              <w:t>His Majesty The King</w:t>
            </w:r>
            <w:r w:rsidRPr="006419FA">
              <w:rPr>
                <w:b w:val="0"/>
              </w:rPr>
              <w:br/>
            </w:r>
          </w:p>
          <w:p w:rsidR="006419FA" w:rsidRPr="006419FA" w:rsidRDefault="006419FA" w:rsidP="00B328FE">
            <w:pPr>
              <w:pStyle w:val="SCCLsocPartyRole"/>
            </w:pPr>
            <w:r w:rsidRPr="006419FA">
              <w:t>Respondent</w:t>
            </w:r>
          </w:p>
          <w:p w:rsidR="006419FA" w:rsidRPr="006419FA" w:rsidRDefault="006419FA" w:rsidP="00B328FE"/>
          <w:p w:rsidR="006419FA" w:rsidRPr="006419FA" w:rsidRDefault="006419FA" w:rsidP="00B328FE">
            <w:pPr>
              <w:pStyle w:val="SCCLsocVersus"/>
            </w:pPr>
            <w:r w:rsidRPr="006419FA">
              <w:t>- and -</w:t>
            </w:r>
          </w:p>
          <w:p w:rsidR="006419FA" w:rsidRPr="006419FA" w:rsidRDefault="006419FA" w:rsidP="00B328FE"/>
          <w:p w:rsidR="006419FA" w:rsidRPr="006419FA" w:rsidRDefault="006419FA" w:rsidP="00B328FE">
            <w:pPr>
              <w:pStyle w:val="SCCLsocParty"/>
              <w:rPr>
                <w:b w:val="0"/>
              </w:rPr>
            </w:pPr>
            <w:r w:rsidRPr="006419FA">
              <w:rPr>
                <w:b w:val="0"/>
              </w:rPr>
              <w:t>Attorney General of Ontario and Criminal Trial Lawyers’ Association</w:t>
            </w:r>
          </w:p>
          <w:p w:rsidR="006419FA" w:rsidRDefault="006419FA" w:rsidP="00B328FE"/>
          <w:p w:rsidR="006419FA" w:rsidRDefault="006419FA" w:rsidP="00B328FE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:rsidR="006419FA" w:rsidRPr="00FE22F9" w:rsidRDefault="006419FA" w:rsidP="00B328FE"/>
        </w:tc>
        <w:tc>
          <w:tcPr>
            <w:tcW w:w="2350" w:type="pct"/>
          </w:tcPr>
          <w:p w:rsidR="006419FA" w:rsidRPr="00D94FF1" w:rsidRDefault="006419FA" w:rsidP="00B328FE">
            <w:pPr>
              <w:rPr>
                <w:lang w:val="fr-CA"/>
              </w:rPr>
            </w:pPr>
          </w:p>
          <w:p w:rsidR="006419FA" w:rsidRPr="00D94FF1" w:rsidRDefault="006419FA" w:rsidP="00B328FE">
            <w:pPr>
              <w:pStyle w:val="SCCLsocPrefix"/>
              <w:rPr>
                <w:lang w:val="fr-CA"/>
              </w:rPr>
            </w:pPr>
            <w:r w:rsidRPr="00D94FF1">
              <w:rPr>
                <w:lang w:val="fr-CA"/>
              </w:rPr>
              <w:t>ENTRE :</w:t>
            </w:r>
          </w:p>
          <w:p w:rsidR="006419FA" w:rsidRPr="006419FA" w:rsidRDefault="006419FA" w:rsidP="00B328FE">
            <w:pPr>
              <w:pStyle w:val="SCCLsocParty"/>
              <w:rPr>
                <w:b w:val="0"/>
                <w:lang w:val="fr-CA"/>
              </w:rPr>
            </w:pPr>
            <w:r w:rsidRPr="006419FA">
              <w:rPr>
                <w:b w:val="0"/>
                <w:lang w:val="fr-CA"/>
              </w:rPr>
              <w:t>Daniel Hodgson</w:t>
            </w:r>
            <w:r w:rsidRPr="006419FA">
              <w:rPr>
                <w:b w:val="0"/>
                <w:lang w:val="fr-CA"/>
              </w:rPr>
              <w:br/>
            </w:r>
          </w:p>
          <w:p w:rsidR="006419FA" w:rsidRPr="006419FA" w:rsidRDefault="006419FA" w:rsidP="00B328FE">
            <w:pPr>
              <w:pStyle w:val="SCCLsocPartyRole"/>
              <w:rPr>
                <w:lang w:val="fr-CA"/>
              </w:rPr>
            </w:pPr>
            <w:r w:rsidRPr="006419FA">
              <w:rPr>
                <w:lang w:val="fr-CA"/>
              </w:rPr>
              <w:t>Appelant</w:t>
            </w:r>
            <w:r w:rsidRPr="006419FA">
              <w:rPr>
                <w:lang w:val="fr-CA"/>
              </w:rPr>
              <w:br/>
            </w:r>
          </w:p>
          <w:p w:rsidR="006419FA" w:rsidRPr="006419FA" w:rsidRDefault="006419FA" w:rsidP="00B328FE">
            <w:pPr>
              <w:pStyle w:val="SCCLsocVersus"/>
              <w:rPr>
                <w:lang w:val="fr-CA"/>
              </w:rPr>
            </w:pPr>
            <w:r w:rsidRPr="006419FA">
              <w:rPr>
                <w:lang w:val="fr-CA"/>
              </w:rPr>
              <w:t>- et -</w:t>
            </w:r>
          </w:p>
          <w:p w:rsidR="006419FA" w:rsidRPr="006419FA" w:rsidRDefault="006419FA" w:rsidP="00B328FE">
            <w:pPr>
              <w:rPr>
                <w:lang w:val="fr-CA"/>
              </w:rPr>
            </w:pPr>
          </w:p>
          <w:p w:rsidR="006419FA" w:rsidRPr="006419FA" w:rsidRDefault="006419FA" w:rsidP="00B328FE">
            <w:pPr>
              <w:pStyle w:val="SCCLsocParty"/>
              <w:rPr>
                <w:b w:val="0"/>
                <w:lang w:val="fr-CA"/>
              </w:rPr>
            </w:pPr>
            <w:r w:rsidRPr="006419FA">
              <w:rPr>
                <w:b w:val="0"/>
                <w:lang w:val="fr-CA"/>
              </w:rPr>
              <w:t>Sa Majesté le Roi</w:t>
            </w:r>
            <w:r w:rsidRPr="006419FA">
              <w:rPr>
                <w:b w:val="0"/>
                <w:lang w:val="fr-CA"/>
              </w:rPr>
              <w:br/>
            </w:r>
          </w:p>
          <w:p w:rsidR="006419FA" w:rsidRPr="006419FA" w:rsidRDefault="006419FA" w:rsidP="00B328FE">
            <w:pPr>
              <w:pStyle w:val="SCCLsocPartyRole"/>
              <w:rPr>
                <w:lang w:val="fr-CA"/>
              </w:rPr>
            </w:pPr>
            <w:r w:rsidRPr="006419FA">
              <w:rPr>
                <w:lang w:val="fr-CA"/>
              </w:rPr>
              <w:t>Intimé</w:t>
            </w:r>
          </w:p>
          <w:p w:rsidR="006419FA" w:rsidRPr="006419FA" w:rsidRDefault="006419FA" w:rsidP="00B328FE">
            <w:pPr>
              <w:rPr>
                <w:lang w:val="fr-CA"/>
              </w:rPr>
            </w:pPr>
          </w:p>
          <w:p w:rsidR="006419FA" w:rsidRPr="006419FA" w:rsidRDefault="006419FA" w:rsidP="00B328FE">
            <w:pPr>
              <w:pStyle w:val="SCCLsocVersus"/>
              <w:rPr>
                <w:lang w:val="fr-CA"/>
              </w:rPr>
            </w:pPr>
            <w:r w:rsidRPr="006419FA">
              <w:rPr>
                <w:lang w:val="fr-CA"/>
              </w:rPr>
              <w:t>- et -</w:t>
            </w:r>
          </w:p>
          <w:p w:rsidR="006419FA" w:rsidRPr="006419FA" w:rsidRDefault="006419FA" w:rsidP="00B328FE">
            <w:pPr>
              <w:rPr>
                <w:lang w:val="fr-CA"/>
              </w:rPr>
            </w:pPr>
          </w:p>
          <w:p w:rsidR="006419FA" w:rsidRPr="006419FA" w:rsidRDefault="006419FA" w:rsidP="00B328FE">
            <w:pPr>
              <w:pStyle w:val="SCCLsocParty"/>
              <w:rPr>
                <w:b w:val="0"/>
                <w:lang w:val="fr-CA"/>
              </w:rPr>
            </w:pPr>
            <w:r w:rsidRPr="006419FA">
              <w:rPr>
                <w:b w:val="0"/>
                <w:lang w:val="fr-CA"/>
              </w:rPr>
              <w:t>Procureur général de l’Ontario et Criminal Trial Lawyers’ Association</w:t>
            </w:r>
          </w:p>
          <w:p w:rsidR="006419FA" w:rsidRPr="00D94FF1" w:rsidRDefault="006419FA" w:rsidP="00B328FE">
            <w:pPr>
              <w:rPr>
                <w:lang w:val="fr-CA"/>
              </w:rPr>
            </w:pPr>
          </w:p>
          <w:p w:rsidR="006419FA" w:rsidRDefault="006419FA" w:rsidP="00B328FE">
            <w:pPr>
              <w:pStyle w:val="SCCLsocPartyRole"/>
            </w:pPr>
            <w:r>
              <w:t>Intervenants</w:t>
            </w:r>
          </w:p>
        </w:tc>
      </w:tr>
      <w:tr w:rsidR="006419FA" w:rsidRPr="00FE22F9" w:rsidTr="00B328FE">
        <w:tc>
          <w:tcPr>
            <w:tcW w:w="2269" w:type="pct"/>
            <w:tcMar>
              <w:top w:w="0" w:type="dxa"/>
              <w:bottom w:w="0" w:type="dxa"/>
            </w:tcMar>
          </w:tcPr>
          <w:p w:rsidR="006419FA" w:rsidRPr="00FE22F9" w:rsidRDefault="006419FA" w:rsidP="00B328FE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6419FA" w:rsidRPr="00FE22F9" w:rsidRDefault="006419FA" w:rsidP="00B328FE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6419FA" w:rsidRPr="001F46B4" w:rsidRDefault="006419FA" w:rsidP="00B328FE">
            <w:pPr>
              <w:rPr>
                <w:lang w:val="en-US"/>
              </w:rPr>
            </w:pPr>
          </w:p>
        </w:tc>
      </w:tr>
      <w:tr w:rsidR="006419FA" w:rsidRPr="009450EE" w:rsidTr="00B328FE">
        <w:tc>
          <w:tcPr>
            <w:tcW w:w="2269" w:type="pct"/>
          </w:tcPr>
          <w:p w:rsidR="006419FA" w:rsidRPr="00FE22F9" w:rsidRDefault="006419FA" w:rsidP="00B328FE">
            <w:pPr>
              <w:jc w:val="center"/>
            </w:pPr>
            <w:r w:rsidRPr="00FE22F9">
              <w:t>JUDGMENT</w:t>
            </w:r>
          </w:p>
          <w:p w:rsidR="006419FA" w:rsidRPr="00FE22F9" w:rsidRDefault="006419FA" w:rsidP="00B328FE">
            <w:pPr>
              <w:jc w:val="center"/>
            </w:pPr>
          </w:p>
          <w:p w:rsidR="006419FA" w:rsidRPr="00FE22F9" w:rsidRDefault="006419FA" w:rsidP="00B328FE">
            <w:pPr>
              <w:jc w:val="both"/>
            </w:pPr>
            <w:r w:rsidRPr="00FE22F9">
              <w:t xml:space="preserve">The appeal from the judgment of the </w:t>
            </w:r>
            <w:r>
              <w:t>Court of Appeal of Nunavut</w:t>
            </w:r>
            <w:r w:rsidRPr="00FE22F9">
              <w:t xml:space="preserve">, Number </w:t>
            </w:r>
            <w:r>
              <w:t>08-21-010-CAP</w:t>
            </w:r>
            <w:r w:rsidRPr="006419FA">
              <w:t xml:space="preserve">, </w:t>
            </w:r>
            <w:hyperlink r:id="rId9">
              <w:r w:rsidRPr="006419FA">
                <w:rPr>
                  <w:rStyle w:val="Hyperlink"/>
                  <w:color w:val="660000"/>
                  <w:u w:val="none"/>
                </w:rPr>
                <w:t>2022 NUCA 9</w:t>
              </w:r>
            </w:hyperlink>
            <w:r w:rsidRPr="006419FA">
              <w:t>,</w:t>
            </w:r>
            <w:r w:rsidRPr="00FE22F9">
              <w:t xml:space="preserve"> dated </w:t>
            </w:r>
            <w:r>
              <w:t>October 21, 2022</w:t>
            </w:r>
            <w:r w:rsidRPr="00FE22F9">
              <w:t xml:space="preserve">, was heard on </w:t>
            </w:r>
            <w:r>
              <w:t>February 15, 2024,</w:t>
            </w:r>
            <w:r w:rsidRPr="00FE22F9">
              <w:t xml:space="preserve"> and the Court on that day delivered the following judgment orally</w:t>
            </w:r>
            <w:r>
              <w:t>:</w:t>
            </w:r>
            <w:r w:rsidRPr="00FE22F9">
              <w:t xml:space="preserve"> </w:t>
            </w:r>
          </w:p>
          <w:p w:rsidR="006419FA" w:rsidRPr="00FE22F9" w:rsidRDefault="006419FA" w:rsidP="00B328FE">
            <w:pPr>
              <w:jc w:val="both"/>
            </w:pPr>
          </w:p>
          <w:p w:rsidR="006419FA" w:rsidRPr="00FE22F9" w:rsidRDefault="006419FA" w:rsidP="00B328FE">
            <w:pPr>
              <w:jc w:val="both"/>
            </w:pPr>
          </w:p>
          <w:p w:rsidR="006419FA" w:rsidRPr="0075048D" w:rsidRDefault="006419FA" w:rsidP="00B328FE">
            <w:pPr>
              <w:jc w:val="both"/>
            </w:pPr>
          </w:p>
          <w:p w:rsidR="006419FA" w:rsidRPr="00D94FF1" w:rsidRDefault="006419FA" w:rsidP="00B328FE">
            <w:pPr>
              <w:jc w:val="both"/>
            </w:pPr>
            <w:r>
              <w:rPr>
                <w:smallCaps/>
              </w:rPr>
              <w:t>The Chief Justice</w:t>
            </w:r>
            <w:r w:rsidRPr="00D94FF1">
              <w:t xml:space="preserve"> </w:t>
            </w:r>
            <w:r w:rsidRPr="00D94FF1">
              <w:rPr>
                <w:rFonts w:cs="Times New Roman"/>
              </w:rPr>
              <w:t>—</w:t>
            </w:r>
            <w:r w:rsidRPr="00D94FF1">
              <w:t xml:space="preserve"> We are all of the opinion to allow the appeal and to restore the acquittal. Reasons to follow.</w:t>
            </w:r>
          </w:p>
          <w:p w:rsidR="006419FA" w:rsidRDefault="006419FA" w:rsidP="00B328FE">
            <w:pPr>
              <w:jc w:val="both"/>
            </w:pPr>
          </w:p>
          <w:p w:rsidR="006419FA" w:rsidRPr="00FE22F9" w:rsidRDefault="006419FA" w:rsidP="00B328FE">
            <w:pPr>
              <w:jc w:val="both"/>
            </w:pPr>
          </w:p>
        </w:tc>
        <w:tc>
          <w:tcPr>
            <w:tcW w:w="381" w:type="pct"/>
            <w:tcBorders>
              <w:left w:val="nil"/>
            </w:tcBorders>
          </w:tcPr>
          <w:p w:rsidR="006419FA" w:rsidRPr="00FE22F9" w:rsidRDefault="006419FA" w:rsidP="00B328FE">
            <w:pPr>
              <w:jc w:val="center"/>
            </w:pPr>
          </w:p>
        </w:tc>
        <w:tc>
          <w:tcPr>
            <w:tcW w:w="2350" w:type="pct"/>
          </w:tcPr>
          <w:p w:rsidR="006419FA" w:rsidRPr="00FE22F9" w:rsidRDefault="006419FA" w:rsidP="00B328FE">
            <w:pPr>
              <w:jc w:val="center"/>
              <w:rPr>
                <w:lang w:val="fr-CA"/>
              </w:rPr>
            </w:pPr>
            <w:r w:rsidRPr="00FE22F9">
              <w:rPr>
                <w:lang w:val="fr-CA"/>
              </w:rPr>
              <w:t>JUGEMENT</w:t>
            </w:r>
          </w:p>
          <w:p w:rsidR="006419FA" w:rsidRPr="00FE22F9" w:rsidRDefault="006419FA" w:rsidP="00B328FE">
            <w:pPr>
              <w:jc w:val="center"/>
              <w:rPr>
                <w:lang w:val="fr-CA"/>
              </w:rPr>
            </w:pPr>
          </w:p>
          <w:p w:rsidR="006419FA" w:rsidRPr="00FE22F9" w:rsidRDefault="006419FA" w:rsidP="00B328FE">
            <w:pPr>
              <w:jc w:val="both"/>
              <w:rPr>
                <w:lang w:val="fr-CA"/>
              </w:rPr>
            </w:pPr>
            <w:r w:rsidRPr="00FE22F9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FE22F9">
              <w:rPr>
                <w:lang w:val="fr-CA"/>
              </w:rPr>
              <w:t xml:space="preserve">appel </w:t>
            </w:r>
            <w:r>
              <w:rPr>
                <w:lang w:val="fr-CA"/>
              </w:rPr>
              <w:t>interjet</w:t>
            </w:r>
            <w:r w:rsidRPr="00FE22F9">
              <w:rPr>
                <w:lang w:val="fr-CA"/>
              </w:rPr>
              <w:t>é</w:t>
            </w:r>
            <w:r>
              <w:rPr>
                <w:lang w:val="fr-CA"/>
              </w:rPr>
              <w:t xml:space="preserve"> </w:t>
            </w:r>
            <w:r w:rsidRPr="00FE22F9">
              <w:rPr>
                <w:lang w:val="fr-CA"/>
              </w:rPr>
              <w:t>contre l</w:t>
            </w:r>
            <w:r>
              <w:rPr>
                <w:lang w:val="fr-CA"/>
              </w:rPr>
              <w:t>’</w:t>
            </w:r>
            <w:r w:rsidRPr="00FE22F9">
              <w:rPr>
                <w:lang w:val="fr-CA"/>
              </w:rPr>
              <w:t xml:space="preserve">arrêt de la </w:t>
            </w:r>
            <w:r w:rsidRPr="00D94FF1">
              <w:rPr>
                <w:lang w:val="fr-CA"/>
              </w:rPr>
              <w:t>Cour d</w:t>
            </w:r>
            <w:r>
              <w:rPr>
                <w:lang w:val="fr-CA"/>
              </w:rPr>
              <w:t>’</w:t>
            </w:r>
            <w:r w:rsidRPr="00D94FF1">
              <w:rPr>
                <w:lang w:val="fr-CA"/>
              </w:rPr>
              <w:t>appel du Nunavut</w:t>
            </w:r>
            <w:r w:rsidRPr="00FE22F9">
              <w:rPr>
                <w:lang w:val="fr-CA"/>
              </w:rPr>
              <w:t xml:space="preserve">, numéro </w:t>
            </w:r>
            <w:r w:rsidRPr="00D94FF1">
              <w:rPr>
                <w:lang w:val="fr-CA"/>
              </w:rPr>
              <w:t>08-21-010-</w:t>
            </w:r>
            <w:r w:rsidRPr="006419FA">
              <w:rPr>
                <w:lang w:val="fr-CA"/>
              </w:rPr>
              <w:t xml:space="preserve">CAP, </w:t>
            </w:r>
            <w:hyperlink r:id="rId10">
              <w:r w:rsidRPr="006419FA">
                <w:rPr>
                  <w:rStyle w:val="Hyperlink"/>
                  <w:color w:val="660000"/>
                  <w:u w:val="none"/>
                  <w:lang w:val="fr-CA"/>
                </w:rPr>
                <w:t>2022 NUCA 9</w:t>
              </w:r>
            </w:hyperlink>
            <w:r w:rsidRPr="006419FA">
              <w:rPr>
                <w:lang w:val="fr-CA"/>
              </w:rPr>
              <w:t>, daté</w:t>
            </w:r>
            <w:r w:rsidRPr="00FE22F9">
              <w:rPr>
                <w:lang w:val="fr-CA"/>
              </w:rPr>
              <w:t xml:space="preserve"> du </w:t>
            </w:r>
            <w:r w:rsidRPr="00D94FF1">
              <w:rPr>
                <w:lang w:val="fr-CA"/>
              </w:rPr>
              <w:t>21 octobre 2022</w:t>
            </w:r>
            <w:r w:rsidRPr="00FE22F9">
              <w:rPr>
                <w:lang w:val="fr-CA"/>
              </w:rPr>
              <w:t xml:space="preserve">, a été entendu le </w:t>
            </w:r>
            <w:r w:rsidRPr="00D94FF1">
              <w:rPr>
                <w:lang w:val="fr-CA"/>
              </w:rPr>
              <w:t>15 février 2024</w:t>
            </w:r>
            <w:r w:rsidRPr="00FE22F9">
              <w:rPr>
                <w:lang w:val="fr-CA"/>
              </w:rPr>
              <w:t xml:space="preserve"> et la Cour a prononcé oralement le même jour le jugement suivant :</w:t>
            </w:r>
          </w:p>
          <w:p w:rsidR="006419FA" w:rsidRPr="00FE22F9" w:rsidRDefault="006419FA" w:rsidP="00B328FE">
            <w:pPr>
              <w:jc w:val="both"/>
              <w:rPr>
                <w:lang w:val="fr-CA"/>
              </w:rPr>
            </w:pPr>
          </w:p>
          <w:p w:rsidR="006419FA" w:rsidRPr="00FE22F9" w:rsidRDefault="006419FA" w:rsidP="00B328FE">
            <w:pPr>
              <w:jc w:val="both"/>
              <w:rPr>
                <w:lang w:val="fr-CA"/>
              </w:rPr>
            </w:pPr>
          </w:p>
          <w:p w:rsidR="006419FA" w:rsidRPr="0075048D" w:rsidRDefault="006419FA" w:rsidP="00B328FE">
            <w:pPr>
              <w:jc w:val="both"/>
              <w:rPr>
                <w:lang w:val="fr-CA"/>
              </w:rPr>
            </w:pPr>
            <w:r w:rsidRPr="0075048D">
              <w:rPr>
                <w:lang w:val="fr-CA"/>
              </w:rPr>
              <w:t>[</w:t>
            </w:r>
            <w:r w:rsidRPr="0075048D">
              <w:rPr>
                <w:smallCaps/>
                <w:lang w:val="fr-CA"/>
              </w:rPr>
              <w:t>traduction</w:t>
            </w:r>
            <w:r w:rsidRPr="0075048D">
              <w:rPr>
                <w:lang w:val="fr-CA"/>
              </w:rPr>
              <w:t>]</w:t>
            </w:r>
          </w:p>
          <w:p w:rsidR="006419FA" w:rsidRPr="00D94FF1" w:rsidRDefault="006419FA" w:rsidP="00B328FE">
            <w:pPr>
              <w:jc w:val="both"/>
              <w:rPr>
                <w:lang w:val="fr-CA"/>
              </w:rPr>
            </w:pPr>
            <w:r w:rsidRPr="00D94FF1">
              <w:rPr>
                <w:smallCaps/>
                <w:lang w:val="fr-CA"/>
              </w:rPr>
              <w:t>Le juge en chef</w:t>
            </w:r>
            <w:r w:rsidRPr="00D94FF1">
              <w:rPr>
                <w:lang w:val="fr-CA"/>
              </w:rPr>
              <w:t xml:space="preserve"> </w:t>
            </w:r>
            <w:r w:rsidRPr="00D94FF1">
              <w:rPr>
                <w:rFonts w:cs="Times New Roman"/>
                <w:lang w:val="fr-CA"/>
              </w:rPr>
              <w:t>—</w:t>
            </w:r>
            <w:r w:rsidRPr="00D94FF1">
              <w:rPr>
                <w:lang w:val="fr-CA"/>
              </w:rPr>
              <w:t xml:space="preserve"> </w:t>
            </w:r>
            <w:r>
              <w:rPr>
                <w:lang w:val="fr-CA"/>
              </w:rPr>
              <w:t>Nous sommes toutes et tous d’avis d’accueillir l’appel et de rétablir l’</w:t>
            </w:r>
            <w:r w:rsidRPr="00D94FF1">
              <w:rPr>
                <w:lang w:val="fr-CA"/>
              </w:rPr>
              <w:t xml:space="preserve">acquittement. Les </w:t>
            </w:r>
            <w:r>
              <w:rPr>
                <w:lang w:val="fr-CA"/>
              </w:rPr>
              <w:t>motifs</w:t>
            </w:r>
            <w:r w:rsidRPr="00D94FF1">
              <w:rPr>
                <w:lang w:val="fr-CA"/>
              </w:rPr>
              <w:t xml:space="preserve"> suivront.</w:t>
            </w:r>
          </w:p>
          <w:p w:rsidR="006419FA" w:rsidRDefault="006419FA" w:rsidP="00B328FE">
            <w:pPr>
              <w:jc w:val="both"/>
              <w:rPr>
                <w:lang w:val="fr-CA"/>
              </w:rPr>
            </w:pPr>
          </w:p>
          <w:p w:rsidR="006419FA" w:rsidRPr="00FE22F9" w:rsidRDefault="006419FA" w:rsidP="00B328FE">
            <w:pPr>
              <w:jc w:val="both"/>
              <w:rPr>
                <w:lang w:val="fr-CA"/>
              </w:rPr>
            </w:pPr>
          </w:p>
        </w:tc>
      </w:tr>
    </w:tbl>
    <w:p w:rsidR="006419FA" w:rsidRPr="001F46B4" w:rsidRDefault="006419FA" w:rsidP="006419FA">
      <w:pPr>
        <w:rPr>
          <w:lang w:val="fr-CA"/>
        </w:rPr>
      </w:pPr>
    </w:p>
    <w:p w:rsidR="006419FA" w:rsidRDefault="006419FA" w:rsidP="006419FA">
      <w:pPr>
        <w:jc w:val="center"/>
        <w:rPr>
          <w:lang w:val="fr-CA"/>
        </w:rPr>
      </w:pPr>
    </w:p>
    <w:p w:rsidR="006419FA" w:rsidRDefault="006419FA" w:rsidP="006419FA">
      <w:pPr>
        <w:jc w:val="center"/>
        <w:rPr>
          <w:lang w:val="fr-CA"/>
        </w:rPr>
      </w:pPr>
    </w:p>
    <w:p w:rsidR="006419FA" w:rsidRPr="001F46B4" w:rsidRDefault="006419FA" w:rsidP="006419FA">
      <w:pPr>
        <w:jc w:val="center"/>
        <w:rPr>
          <w:lang w:val="fr-CA"/>
        </w:rPr>
      </w:pPr>
    </w:p>
    <w:p w:rsidR="006419FA" w:rsidRPr="001F46B4" w:rsidRDefault="006419FA" w:rsidP="006419FA">
      <w:pPr>
        <w:jc w:val="center"/>
        <w:rPr>
          <w:lang w:val="fr-CA"/>
        </w:rPr>
      </w:pPr>
    </w:p>
    <w:p w:rsidR="006419FA" w:rsidRPr="001F46B4" w:rsidRDefault="006419FA" w:rsidP="006419FA">
      <w:pPr>
        <w:jc w:val="center"/>
        <w:rPr>
          <w:lang w:val="fr-CA"/>
        </w:rPr>
      </w:pPr>
      <w:r w:rsidRPr="001F46B4">
        <w:rPr>
          <w:lang w:val="fr-CA"/>
        </w:rPr>
        <w:t>C.J.C.</w:t>
      </w:r>
    </w:p>
    <w:p w:rsidR="006419FA" w:rsidRPr="001F46B4" w:rsidRDefault="006419FA" w:rsidP="006419FA">
      <w:pPr>
        <w:jc w:val="center"/>
        <w:rPr>
          <w:lang w:val="fr-CA"/>
        </w:rPr>
      </w:pPr>
      <w:r w:rsidRPr="001F46B4">
        <w:rPr>
          <w:lang w:val="fr-CA"/>
        </w:rPr>
        <w:t>J.C.C.</w:t>
      </w:r>
    </w:p>
    <w:p w:rsidR="00904937" w:rsidRPr="006B210C" w:rsidRDefault="00904937"/>
    <w:sectPr w:rsidR="00904937" w:rsidRPr="006B210C" w:rsidSect="00F72014"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44" w:rsidRDefault="00EF0E44" w:rsidP="00F72014">
      <w:r>
        <w:separator/>
      </w:r>
    </w:p>
  </w:endnote>
  <w:endnote w:type="continuationSeparator" w:id="0">
    <w:p w:rsidR="00EF0E44" w:rsidRDefault="00EF0E44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44" w:rsidRDefault="00EF0E44" w:rsidP="00F72014">
      <w:r>
        <w:separator/>
      </w:r>
    </w:p>
  </w:footnote>
  <w:footnote w:type="continuationSeparator" w:id="0">
    <w:p w:rsidR="00EF0E44" w:rsidRDefault="00EF0E44" w:rsidP="00F7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01315"/>
    <w:rsid w:val="0003087F"/>
    <w:rsid w:val="0003708F"/>
    <w:rsid w:val="00076773"/>
    <w:rsid w:val="00087E50"/>
    <w:rsid w:val="001311DA"/>
    <w:rsid w:val="001412E4"/>
    <w:rsid w:val="001648D4"/>
    <w:rsid w:val="001B0985"/>
    <w:rsid w:val="001B27ED"/>
    <w:rsid w:val="001B299D"/>
    <w:rsid w:val="001D6B8C"/>
    <w:rsid w:val="001F1F83"/>
    <w:rsid w:val="001F3E0C"/>
    <w:rsid w:val="00205C5C"/>
    <w:rsid w:val="00205C5D"/>
    <w:rsid w:val="00252460"/>
    <w:rsid w:val="00273D07"/>
    <w:rsid w:val="0028675F"/>
    <w:rsid w:val="002A3615"/>
    <w:rsid w:val="002C1DA9"/>
    <w:rsid w:val="002C5A33"/>
    <w:rsid w:val="002D4FC9"/>
    <w:rsid w:val="00307011"/>
    <w:rsid w:val="003239DF"/>
    <w:rsid w:val="00355967"/>
    <w:rsid w:val="00384384"/>
    <w:rsid w:val="003B2BE1"/>
    <w:rsid w:val="003B3C63"/>
    <w:rsid w:val="00451668"/>
    <w:rsid w:val="00460AFC"/>
    <w:rsid w:val="004E69EC"/>
    <w:rsid w:val="004F090E"/>
    <w:rsid w:val="004F0CB8"/>
    <w:rsid w:val="00524C08"/>
    <w:rsid w:val="00540106"/>
    <w:rsid w:val="00550DDF"/>
    <w:rsid w:val="00564C88"/>
    <w:rsid w:val="00582136"/>
    <w:rsid w:val="005D2CFA"/>
    <w:rsid w:val="005D4801"/>
    <w:rsid w:val="005F5532"/>
    <w:rsid w:val="0061259C"/>
    <w:rsid w:val="006221F2"/>
    <w:rsid w:val="006419FA"/>
    <w:rsid w:val="00647A81"/>
    <w:rsid w:val="006B210C"/>
    <w:rsid w:val="00701ABD"/>
    <w:rsid w:val="007342DC"/>
    <w:rsid w:val="007740CA"/>
    <w:rsid w:val="00804C5D"/>
    <w:rsid w:val="00815561"/>
    <w:rsid w:val="00842677"/>
    <w:rsid w:val="00843369"/>
    <w:rsid w:val="00852D4E"/>
    <w:rsid w:val="008544C3"/>
    <w:rsid w:val="00880B14"/>
    <w:rsid w:val="00904937"/>
    <w:rsid w:val="0093524C"/>
    <w:rsid w:val="00962C82"/>
    <w:rsid w:val="009914A4"/>
    <w:rsid w:val="00996510"/>
    <w:rsid w:val="0099776C"/>
    <w:rsid w:val="009B58B8"/>
    <w:rsid w:val="009E1B85"/>
    <w:rsid w:val="009E7065"/>
    <w:rsid w:val="00A15427"/>
    <w:rsid w:val="00A51D10"/>
    <w:rsid w:val="00A57778"/>
    <w:rsid w:val="00AB2201"/>
    <w:rsid w:val="00BC2DFD"/>
    <w:rsid w:val="00BD4217"/>
    <w:rsid w:val="00C003E6"/>
    <w:rsid w:val="00C53971"/>
    <w:rsid w:val="00C95282"/>
    <w:rsid w:val="00CE17A0"/>
    <w:rsid w:val="00D030DA"/>
    <w:rsid w:val="00D76BDF"/>
    <w:rsid w:val="00DA7B22"/>
    <w:rsid w:val="00DF15D7"/>
    <w:rsid w:val="00E15C60"/>
    <w:rsid w:val="00E22DBA"/>
    <w:rsid w:val="00E356C7"/>
    <w:rsid w:val="00E5364D"/>
    <w:rsid w:val="00E54E6E"/>
    <w:rsid w:val="00E64FA7"/>
    <w:rsid w:val="00E770CB"/>
    <w:rsid w:val="00EA6DB9"/>
    <w:rsid w:val="00EF0E44"/>
    <w:rsid w:val="00EF72F1"/>
    <w:rsid w:val="00F36AF0"/>
    <w:rsid w:val="00F45A93"/>
    <w:rsid w:val="00F6599B"/>
    <w:rsid w:val="00F72014"/>
    <w:rsid w:val="00F9518C"/>
    <w:rsid w:val="00FA59EF"/>
    <w:rsid w:val="00FB461D"/>
    <w:rsid w:val="00FC2782"/>
    <w:rsid w:val="00FC70CB"/>
    <w:rsid w:val="00FD5E4C"/>
    <w:rsid w:val="00FE57D3"/>
    <w:rsid w:val="00FE5ED5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252460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252460"/>
    <w:rPr>
      <w:b/>
      <w:smallCaps/>
      <w:lang w:val="en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252460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252460"/>
    <w:rPr>
      <w:lang w:val="en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99776C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99776C"/>
    <w:rPr>
      <w:lang w:val="en-CA"/>
    </w:rPr>
  </w:style>
  <w:style w:type="paragraph" w:customStyle="1" w:styleId="SCCLsocParty">
    <w:name w:val="SCC.Lsoc.Party"/>
    <w:basedOn w:val="Normal"/>
    <w:next w:val="Normal"/>
    <w:link w:val="SCCLsocPartyChar"/>
    <w:rsid w:val="0099776C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99776C"/>
    <w:rPr>
      <w:b/>
      <w:lang w:val="en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FE5ED5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FE5ED5"/>
    <w:rPr>
      <w:b/>
      <w:smallCaps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99776C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99776C"/>
    <w:rPr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99776C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99776C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FE5ED5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FE5ED5"/>
    <w:rPr>
      <w:b/>
      <w:smallCaps/>
      <w:lang w:val="en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003E6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003E6"/>
    <w:rPr>
      <w:lang w:val="en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003E6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003E6"/>
    <w:rPr>
      <w:b/>
      <w:smallCaps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2C5A33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2C5A33"/>
    <w:rPr>
      <w:lang w:val="en-CA"/>
    </w:rPr>
  </w:style>
  <w:style w:type="paragraph" w:customStyle="1" w:styleId="SCCCounselName">
    <w:name w:val="SCC.CounselName"/>
    <w:basedOn w:val="Normal"/>
    <w:next w:val="Normal"/>
    <w:link w:val="SCCCounselNameChar"/>
    <w:rsid w:val="00962C82"/>
    <w:rPr>
      <w:i/>
    </w:rPr>
  </w:style>
  <w:style w:type="character" w:customStyle="1" w:styleId="SCCCounselNameChar">
    <w:name w:val="SCC.CounselName Char"/>
    <w:basedOn w:val="DefaultParagraphFont"/>
    <w:link w:val="SCCCounselName"/>
    <w:rsid w:val="00962C82"/>
    <w:rPr>
      <w:rFonts w:eastAsia="Times New Roman" w:cs="Times New Roman"/>
      <w:i/>
      <w:szCs w:val="20"/>
      <w:lang w:val="en-CA" w:eastAsia="en-CA"/>
    </w:rPr>
  </w:style>
  <w:style w:type="paragraph" w:customStyle="1" w:styleId="SCCCounselSeparator">
    <w:name w:val="SCC.CounselSeparator"/>
    <w:basedOn w:val="Normal"/>
    <w:next w:val="Normal"/>
    <w:link w:val="SCCCounselSeparatorChar"/>
    <w:rsid w:val="00962C82"/>
  </w:style>
  <w:style w:type="character" w:customStyle="1" w:styleId="SCCCounselSeparatorChar">
    <w:name w:val="SCC.CounselSeparator Char"/>
    <w:basedOn w:val="DefaultParagraphFont"/>
    <w:link w:val="SCCCounselSeparator"/>
    <w:rsid w:val="00962C82"/>
    <w:rPr>
      <w:rFonts w:eastAsia="Times New Roman" w:cs="Times New Roman"/>
      <w:szCs w:val="20"/>
      <w:lang w:val="en-CA" w:eastAsia="en-CA"/>
    </w:rPr>
  </w:style>
  <w:style w:type="paragraph" w:customStyle="1" w:styleId="SCCCounselPartyRole">
    <w:name w:val="SCC.CounselPartyRole"/>
    <w:basedOn w:val="Normal"/>
    <w:next w:val="Normal"/>
    <w:link w:val="SCCCounselPartyRoleChar"/>
    <w:rsid w:val="00962C82"/>
  </w:style>
  <w:style w:type="character" w:customStyle="1" w:styleId="SCCCounselPartyRoleChar">
    <w:name w:val="SCC.CounselPartyRole Char"/>
    <w:basedOn w:val="DefaultParagraphFont"/>
    <w:link w:val="SCCCounselPartyRole"/>
    <w:rsid w:val="00962C82"/>
    <w:rPr>
      <w:rFonts w:eastAsia="Times New Roman" w:cs="Times New Roman"/>
      <w:szCs w:val="20"/>
      <w:lang w:val="en-CA" w:eastAsia="en-CA"/>
    </w:rPr>
  </w:style>
  <w:style w:type="paragraph" w:customStyle="1" w:styleId="SCCBold">
    <w:name w:val="SCC.Bold"/>
    <w:basedOn w:val="Normal"/>
    <w:next w:val="Normal"/>
    <w:rsid w:val="005D2CFA"/>
    <w:rPr>
      <w:b/>
    </w:rPr>
  </w:style>
  <w:style w:type="paragraph" w:customStyle="1" w:styleId="SCCReasonsTitle">
    <w:name w:val="SCC.ReasonsTitle"/>
    <w:basedOn w:val="Normal"/>
    <w:next w:val="Normal"/>
    <w:link w:val="SCCReasonsTitleChar"/>
    <w:qFormat/>
    <w:rsid w:val="00076773"/>
    <w:rPr>
      <w:b/>
    </w:rPr>
  </w:style>
  <w:style w:type="character" w:customStyle="1" w:styleId="SCCReasonsTitleChar">
    <w:name w:val="SCC.ReasonsTitle Char"/>
    <w:basedOn w:val="DefaultParagraphFont"/>
    <w:link w:val="SCCReasonsTitle"/>
    <w:rsid w:val="001B27ED"/>
    <w:rPr>
      <w:b/>
      <w:lang w:val="en-CA"/>
    </w:rPr>
  </w:style>
  <w:style w:type="character" w:styleId="Hyperlink">
    <w:name w:val="Hyperlink"/>
    <w:basedOn w:val="DefaultParagraphFont"/>
    <w:uiPriority w:val="99"/>
    <w:unhideWhenUsed/>
    <w:rsid w:val="00641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2252.19B69D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nlii.org/en/nu/nuca/doc/2022/2022nuca9/2022nuca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lii.org/en/nu/nuca/doc/2022/2022nuca9/2022nuca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1C8E-E316-4264-8027-1F296DD2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2024-02-16T16:31:00Z</dcterms:created>
  <dcterms:modified xsi:type="dcterms:W3CDTF">2024-02-16T16:31:00Z</dcterms:modified>
</cp:coreProperties>
</file>