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8082D" w:rsidRDefault="000E391F" w:rsidP="000E391F">
      <w:pPr>
        <w:pStyle w:val="Header"/>
        <w:jc w:val="center"/>
        <w:rPr>
          <w:b/>
          <w:sz w:val="32"/>
        </w:rPr>
      </w:pPr>
      <w:r w:rsidRPr="0088082D">
        <w:rPr>
          <w:b/>
          <w:sz w:val="32"/>
        </w:rPr>
        <w:t>Supreme Court of Canada / Cour suprême du Canada</w:t>
      </w:r>
    </w:p>
    <w:p w:rsidR="000E391F" w:rsidRPr="0088082D" w:rsidRDefault="000E391F" w:rsidP="000E391F">
      <w:pPr>
        <w:widowControl w:val="0"/>
        <w:rPr>
          <w:i/>
        </w:rPr>
      </w:pPr>
    </w:p>
    <w:p w:rsidR="000E391F" w:rsidRPr="0088082D" w:rsidRDefault="000E391F" w:rsidP="000E391F">
      <w:pPr>
        <w:widowControl w:val="0"/>
        <w:rPr>
          <w:i/>
        </w:rPr>
      </w:pPr>
    </w:p>
    <w:p w:rsidR="006F2579" w:rsidRPr="0088082D" w:rsidRDefault="006F2579" w:rsidP="006F2579">
      <w:pPr>
        <w:widowControl w:val="0"/>
        <w:rPr>
          <w:i/>
          <w:sz w:val="20"/>
        </w:rPr>
      </w:pPr>
      <w:r w:rsidRPr="0088082D">
        <w:rPr>
          <w:i/>
          <w:sz w:val="20"/>
        </w:rPr>
        <w:t>(</w:t>
      </w:r>
      <w:r w:rsidR="003240B6" w:rsidRPr="0088082D">
        <w:rPr>
          <w:i/>
          <w:sz w:val="20"/>
        </w:rPr>
        <w:t>L</w:t>
      </w:r>
      <w:r w:rsidRPr="0088082D">
        <w:rPr>
          <w:i/>
          <w:sz w:val="20"/>
        </w:rPr>
        <w:t>e français suit)</w:t>
      </w:r>
    </w:p>
    <w:p w:rsidR="006F2579" w:rsidRPr="0088082D" w:rsidRDefault="006F2579" w:rsidP="006F2579">
      <w:pPr>
        <w:widowControl w:val="0"/>
      </w:pPr>
    </w:p>
    <w:p w:rsidR="006F2579" w:rsidRPr="0088082D" w:rsidRDefault="00B07908" w:rsidP="006F2579">
      <w:pPr>
        <w:widowControl w:val="0"/>
        <w:jc w:val="center"/>
        <w:rPr>
          <w:b/>
        </w:rPr>
      </w:pPr>
      <w:r w:rsidRPr="0088082D">
        <w:fldChar w:fldCharType="begin"/>
      </w:r>
      <w:r w:rsidR="006F2579" w:rsidRPr="0088082D">
        <w:instrText xml:space="preserve"> SEQ CHAPTER \h \r 1</w:instrText>
      </w:r>
      <w:r w:rsidRPr="0088082D">
        <w:fldChar w:fldCharType="end"/>
      </w:r>
      <w:r w:rsidR="006F2579" w:rsidRPr="0088082D">
        <w:rPr>
          <w:b/>
        </w:rPr>
        <w:t>JUDGMENT</w:t>
      </w:r>
      <w:r w:rsidR="00B17AAC" w:rsidRPr="0088082D">
        <w:rPr>
          <w:b/>
        </w:rPr>
        <w:t>S</w:t>
      </w:r>
      <w:r w:rsidR="006F2579" w:rsidRPr="0088082D">
        <w:rPr>
          <w:b/>
        </w:rPr>
        <w:t xml:space="preserve"> TO B</w:t>
      </w:r>
      <w:r w:rsidR="00001846" w:rsidRPr="0088082D">
        <w:rPr>
          <w:b/>
        </w:rPr>
        <w:t>E RENDERED IN LE</w:t>
      </w:r>
      <w:r w:rsidR="00A0288A" w:rsidRPr="0088082D">
        <w:rPr>
          <w:b/>
        </w:rPr>
        <w:t>A</w:t>
      </w:r>
      <w:r w:rsidR="00001846" w:rsidRPr="0088082D">
        <w:rPr>
          <w:b/>
        </w:rPr>
        <w:t>VE APPLICATION</w:t>
      </w:r>
      <w:r w:rsidR="00E94FDF" w:rsidRPr="0088082D">
        <w:rPr>
          <w:b/>
        </w:rPr>
        <w:t>S</w:t>
      </w:r>
    </w:p>
    <w:p w:rsidR="006F2579" w:rsidRPr="0088082D" w:rsidRDefault="006F2579" w:rsidP="006F2579">
      <w:pPr>
        <w:widowControl w:val="0"/>
      </w:pPr>
    </w:p>
    <w:p w:rsidR="006F2579" w:rsidRPr="0088082D" w:rsidRDefault="00526754" w:rsidP="006F2579">
      <w:pPr>
        <w:widowControl w:val="0"/>
      </w:pPr>
      <w:r w:rsidRPr="0088082D">
        <w:rPr>
          <w:b/>
        </w:rPr>
        <w:t>January</w:t>
      </w:r>
      <w:r w:rsidR="00A15B66" w:rsidRPr="0088082D">
        <w:rPr>
          <w:b/>
        </w:rPr>
        <w:t xml:space="preserve"> </w:t>
      </w:r>
      <w:r w:rsidR="00CA1087" w:rsidRPr="0088082D">
        <w:rPr>
          <w:b/>
        </w:rPr>
        <w:t>20</w:t>
      </w:r>
      <w:r w:rsidR="004441C7" w:rsidRPr="0088082D">
        <w:rPr>
          <w:b/>
        </w:rPr>
        <w:t>,</w:t>
      </w:r>
      <w:r w:rsidR="006F2579" w:rsidRPr="0088082D">
        <w:rPr>
          <w:b/>
        </w:rPr>
        <w:t xml:space="preserve"> </w:t>
      </w:r>
      <w:r w:rsidR="0054689F" w:rsidRPr="0088082D">
        <w:rPr>
          <w:b/>
        </w:rPr>
        <w:t>20</w:t>
      </w:r>
      <w:r w:rsidRPr="0088082D">
        <w:rPr>
          <w:b/>
        </w:rPr>
        <w:t>20</w:t>
      </w:r>
    </w:p>
    <w:p w:rsidR="006F2579" w:rsidRPr="0088082D" w:rsidRDefault="00674F39" w:rsidP="006F2579">
      <w:pPr>
        <w:widowControl w:val="0"/>
        <w:rPr>
          <w:b/>
        </w:rPr>
      </w:pPr>
      <w:r w:rsidRPr="0088082D">
        <w:rPr>
          <w:b/>
        </w:rPr>
        <w:t>For immediate release</w:t>
      </w:r>
    </w:p>
    <w:p w:rsidR="006F2579" w:rsidRPr="0088082D" w:rsidRDefault="006F2579" w:rsidP="006F2579">
      <w:pPr>
        <w:widowControl w:val="0"/>
      </w:pPr>
    </w:p>
    <w:p w:rsidR="006F2579" w:rsidRPr="0088082D" w:rsidRDefault="006F2579" w:rsidP="006F2579">
      <w:pPr>
        <w:widowControl w:val="0"/>
        <w:rPr>
          <w:lang w:val="fr-CA"/>
        </w:rPr>
      </w:pPr>
      <w:r w:rsidRPr="0088082D">
        <w:rPr>
          <w:b/>
        </w:rPr>
        <w:t>OTTAWA</w:t>
      </w:r>
      <w:r w:rsidRPr="0088082D">
        <w:t xml:space="preserve"> – The Supreme Court of Canad</w:t>
      </w:r>
      <w:r w:rsidR="006246E4" w:rsidRPr="0088082D">
        <w:t>a</w:t>
      </w:r>
      <w:r w:rsidRPr="0088082D">
        <w:t xml:space="preserve"> announced today that judgment in the following </w:t>
      </w:r>
      <w:r w:rsidR="00DB6199" w:rsidRPr="0088082D">
        <w:t xml:space="preserve">leave applications </w:t>
      </w:r>
      <w:r w:rsidRPr="0088082D">
        <w:t xml:space="preserve">will be delivered at 9:45 a.m. </w:t>
      </w:r>
      <w:r w:rsidR="00E05816" w:rsidRPr="0088082D">
        <w:t>E</w:t>
      </w:r>
      <w:r w:rsidR="000E391F" w:rsidRPr="0088082D">
        <w:t>S</w:t>
      </w:r>
      <w:r w:rsidR="00E05816" w:rsidRPr="0088082D">
        <w:t>T</w:t>
      </w:r>
      <w:r w:rsidRPr="0088082D">
        <w:t xml:space="preserve"> on Thursday, </w:t>
      </w:r>
      <w:r w:rsidR="00526754" w:rsidRPr="0088082D">
        <w:t>January</w:t>
      </w:r>
      <w:r w:rsidR="00455912" w:rsidRPr="0088082D">
        <w:t xml:space="preserve"> </w:t>
      </w:r>
      <w:r w:rsidR="00CA1087" w:rsidRPr="0088082D">
        <w:t>23</w:t>
      </w:r>
      <w:r w:rsidR="007E112F" w:rsidRPr="0088082D">
        <w:t>,</w:t>
      </w:r>
      <w:r w:rsidR="002F38D7" w:rsidRPr="0088082D">
        <w:t xml:space="preserve"> </w:t>
      </w:r>
      <w:r w:rsidR="006648D1" w:rsidRPr="0088082D">
        <w:t>20</w:t>
      </w:r>
      <w:r w:rsidR="00526754" w:rsidRPr="0088082D">
        <w:t>20</w:t>
      </w:r>
      <w:r w:rsidRPr="0088082D">
        <w:t xml:space="preserve">. </w:t>
      </w:r>
      <w:r w:rsidRPr="0088082D">
        <w:rPr>
          <w:lang w:val="fr-CA"/>
        </w:rPr>
        <w:t>This list is subject to chang</w:t>
      </w:r>
      <w:r w:rsidR="00192F7F" w:rsidRPr="0088082D">
        <w:rPr>
          <w:lang w:val="fr-CA"/>
        </w:rPr>
        <w:t>e</w:t>
      </w:r>
      <w:r w:rsidRPr="0088082D">
        <w:rPr>
          <w:lang w:val="fr-CA"/>
        </w:rPr>
        <w:t>.</w:t>
      </w:r>
    </w:p>
    <w:p w:rsidR="00FF5AA4" w:rsidRPr="0088082D" w:rsidRDefault="00FF5AA4" w:rsidP="006F2579">
      <w:pPr>
        <w:widowControl w:val="0"/>
        <w:rPr>
          <w:lang w:val="fr-CA"/>
        </w:rPr>
      </w:pPr>
    </w:p>
    <w:p w:rsidR="00B43418" w:rsidRPr="0088082D" w:rsidRDefault="00B43418" w:rsidP="006F2579">
      <w:pPr>
        <w:widowControl w:val="0"/>
        <w:rPr>
          <w:lang w:val="fr-CA"/>
        </w:rPr>
      </w:pPr>
    </w:p>
    <w:p w:rsidR="006F2579" w:rsidRPr="0088082D" w:rsidRDefault="006F2579" w:rsidP="006F2579">
      <w:pPr>
        <w:widowControl w:val="0"/>
        <w:jc w:val="center"/>
        <w:rPr>
          <w:lang w:val="fr-CA"/>
        </w:rPr>
      </w:pPr>
      <w:r w:rsidRPr="0088082D">
        <w:rPr>
          <w:b/>
          <w:lang w:val="fr-CA"/>
        </w:rPr>
        <w:t>PROCHAIN</w:t>
      </w:r>
      <w:r w:rsidR="00B17AAC" w:rsidRPr="0088082D">
        <w:rPr>
          <w:b/>
          <w:lang w:val="fr-CA"/>
        </w:rPr>
        <w:t>S</w:t>
      </w:r>
      <w:r w:rsidRPr="0088082D">
        <w:rPr>
          <w:b/>
          <w:lang w:val="fr-CA"/>
        </w:rPr>
        <w:t xml:space="preserve"> JUGEMENT</w:t>
      </w:r>
      <w:r w:rsidR="00B17AAC" w:rsidRPr="0088082D">
        <w:rPr>
          <w:b/>
          <w:lang w:val="fr-CA"/>
        </w:rPr>
        <w:t>S</w:t>
      </w:r>
      <w:r w:rsidR="00001846" w:rsidRPr="0088082D">
        <w:rPr>
          <w:b/>
          <w:lang w:val="fr-CA"/>
        </w:rPr>
        <w:t xml:space="preserve"> SUR DEMANDE</w:t>
      </w:r>
      <w:r w:rsidR="00B17AAC" w:rsidRPr="0088082D">
        <w:rPr>
          <w:b/>
          <w:lang w:val="fr-CA"/>
        </w:rPr>
        <w:t>S</w:t>
      </w:r>
      <w:r w:rsidRPr="0088082D">
        <w:rPr>
          <w:b/>
          <w:lang w:val="fr-CA"/>
        </w:rPr>
        <w:t xml:space="preserve"> D’AUTORISATION</w:t>
      </w:r>
    </w:p>
    <w:p w:rsidR="006F2579" w:rsidRPr="0088082D" w:rsidRDefault="006F2579" w:rsidP="006F2579">
      <w:pPr>
        <w:widowControl w:val="0"/>
        <w:rPr>
          <w:lang w:val="fr-CA"/>
        </w:rPr>
      </w:pPr>
    </w:p>
    <w:p w:rsidR="006F2579" w:rsidRPr="0088082D" w:rsidRDefault="006F2579" w:rsidP="006F2579">
      <w:pPr>
        <w:widowControl w:val="0"/>
        <w:rPr>
          <w:lang w:val="fr-CA"/>
        </w:rPr>
      </w:pPr>
      <w:r w:rsidRPr="0088082D">
        <w:rPr>
          <w:b/>
          <w:lang w:val="fr-CA"/>
        </w:rPr>
        <w:t>Le</w:t>
      </w:r>
      <w:r w:rsidR="00957A76" w:rsidRPr="0088082D">
        <w:rPr>
          <w:b/>
          <w:lang w:val="fr-CA"/>
        </w:rPr>
        <w:t xml:space="preserve"> </w:t>
      </w:r>
      <w:r w:rsidR="00CA1087" w:rsidRPr="0088082D">
        <w:rPr>
          <w:b/>
          <w:lang w:val="fr-CA"/>
        </w:rPr>
        <w:t>20</w:t>
      </w:r>
      <w:r w:rsidR="00A15B66" w:rsidRPr="0088082D">
        <w:rPr>
          <w:b/>
          <w:lang w:val="fr-CA"/>
        </w:rPr>
        <w:t xml:space="preserve"> </w:t>
      </w:r>
      <w:r w:rsidR="00526754" w:rsidRPr="0088082D">
        <w:rPr>
          <w:b/>
          <w:lang w:val="fr-CA"/>
        </w:rPr>
        <w:t>janvier</w:t>
      </w:r>
      <w:r w:rsidR="00A151D1" w:rsidRPr="0088082D">
        <w:rPr>
          <w:b/>
          <w:lang w:val="fr-CA"/>
        </w:rPr>
        <w:t xml:space="preserve"> 20</w:t>
      </w:r>
      <w:r w:rsidR="00526754" w:rsidRPr="0088082D">
        <w:rPr>
          <w:b/>
          <w:lang w:val="fr-CA"/>
        </w:rPr>
        <w:t>20</w:t>
      </w:r>
    </w:p>
    <w:p w:rsidR="006F2579" w:rsidRPr="0088082D" w:rsidRDefault="006F2579" w:rsidP="006F2579">
      <w:pPr>
        <w:widowControl w:val="0"/>
        <w:rPr>
          <w:b/>
          <w:lang w:val="fr-CA"/>
        </w:rPr>
      </w:pPr>
      <w:r w:rsidRPr="0088082D">
        <w:rPr>
          <w:b/>
          <w:lang w:val="fr-CA"/>
        </w:rPr>
        <w:t>Pour diffusion immédiate</w:t>
      </w:r>
    </w:p>
    <w:p w:rsidR="006F2579" w:rsidRPr="0088082D" w:rsidRDefault="006F2579" w:rsidP="006F2579">
      <w:pPr>
        <w:widowControl w:val="0"/>
        <w:rPr>
          <w:lang w:val="fr-CA"/>
        </w:rPr>
      </w:pPr>
    </w:p>
    <w:p w:rsidR="006F2579" w:rsidRPr="0088082D" w:rsidRDefault="006F2579" w:rsidP="006F2579">
      <w:pPr>
        <w:widowControl w:val="0"/>
        <w:rPr>
          <w:lang w:val="fr-CA"/>
        </w:rPr>
      </w:pPr>
      <w:r w:rsidRPr="0088082D">
        <w:rPr>
          <w:b/>
          <w:lang w:val="fr-CA"/>
        </w:rPr>
        <w:t>OTTAWA</w:t>
      </w:r>
      <w:r w:rsidRPr="0088082D">
        <w:rPr>
          <w:lang w:val="fr-CA"/>
        </w:rPr>
        <w:t xml:space="preserve"> – La Cour suprême du Canada annonce que jugement ser</w:t>
      </w:r>
      <w:r w:rsidR="004259F9" w:rsidRPr="0088082D">
        <w:rPr>
          <w:lang w:val="fr-CA"/>
        </w:rPr>
        <w:t>a</w:t>
      </w:r>
      <w:r w:rsidRPr="0088082D">
        <w:rPr>
          <w:lang w:val="fr-CA"/>
        </w:rPr>
        <w:t xml:space="preserve"> rendu dans l</w:t>
      </w:r>
      <w:r w:rsidR="008600ED" w:rsidRPr="0088082D">
        <w:rPr>
          <w:lang w:val="fr-CA"/>
        </w:rPr>
        <w:t>es</w:t>
      </w:r>
      <w:r w:rsidRPr="0088082D">
        <w:rPr>
          <w:lang w:val="fr-CA"/>
        </w:rPr>
        <w:t xml:space="preserve"> demande</w:t>
      </w:r>
      <w:r w:rsidR="008600ED" w:rsidRPr="0088082D">
        <w:rPr>
          <w:lang w:val="fr-CA"/>
        </w:rPr>
        <w:t>s</w:t>
      </w:r>
      <w:r w:rsidRPr="0088082D">
        <w:rPr>
          <w:lang w:val="fr-CA"/>
        </w:rPr>
        <w:t xml:space="preserve"> d</w:t>
      </w:r>
      <w:r w:rsidR="00001846" w:rsidRPr="0088082D">
        <w:rPr>
          <w:lang w:val="fr-CA"/>
        </w:rPr>
        <w:t>’autorisation suivante</w:t>
      </w:r>
      <w:r w:rsidR="008600ED" w:rsidRPr="0088082D">
        <w:rPr>
          <w:lang w:val="fr-CA"/>
        </w:rPr>
        <w:t>s</w:t>
      </w:r>
      <w:r w:rsidRPr="0088082D">
        <w:rPr>
          <w:lang w:val="fr-CA"/>
        </w:rPr>
        <w:t xml:space="preserve"> le jeudi </w:t>
      </w:r>
      <w:r w:rsidR="00CA1087" w:rsidRPr="0088082D">
        <w:rPr>
          <w:lang w:val="fr-CA"/>
        </w:rPr>
        <w:t>23</w:t>
      </w:r>
      <w:r w:rsidR="00780317" w:rsidRPr="0088082D">
        <w:rPr>
          <w:lang w:val="fr-CA"/>
        </w:rPr>
        <w:t xml:space="preserve"> </w:t>
      </w:r>
      <w:r w:rsidR="00526754" w:rsidRPr="0088082D">
        <w:rPr>
          <w:lang w:val="fr-CA"/>
        </w:rPr>
        <w:t>janvier</w:t>
      </w:r>
      <w:r w:rsidR="00694391" w:rsidRPr="0088082D">
        <w:rPr>
          <w:lang w:val="fr-CA"/>
        </w:rPr>
        <w:t xml:space="preserve"> 2</w:t>
      </w:r>
      <w:r w:rsidR="006648D1" w:rsidRPr="0088082D">
        <w:rPr>
          <w:lang w:val="fr-CA"/>
        </w:rPr>
        <w:t>0</w:t>
      </w:r>
      <w:r w:rsidR="00526754" w:rsidRPr="0088082D">
        <w:rPr>
          <w:lang w:val="fr-CA"/>
        </w:rPr>
        <w:t>20</w:t>
      </w:r>
      <w:r w:rsidRPr="0088082D">
        <w:rPr>
          <w:lang w:val="fr-CA"/>
        </w:rPr>
        <w:t xml:space="preserve">, à 9 h 45 </w:t>
      </w:r>
      <w:r w:rsidR="000627A2" w:rsidRPr="0088082D">
        <w:rPr>
          <w:lang w:val="fr-CA"/>
        </w:rPr>
        <w:t>H</w:t>
      </w:r>
      <w:r w:rsidR="000E391F" w:rsidRPr="0088082D">
        <w:rPr>
          <w:lang w:val="fr-CA"/>
        </w:rPr>
        <w:t>N</w:t>
      </w:r>
      <w:r w:rsidRPr="0088082D">
        <w:rPr>
          <w:lang w:val="fr-CA"/>
        </w:rPr>
        <w:t>E. Cette liste est sujette à modifications.</w:t>
      </w:r>
    </w:p>
    <w:p w:rsidR="0080556B" w:rsidRPr="0088082D" w:rsidRDefault="0080556B" w:rsidP="009B14F4">
      <w:pPr>
        <w:widowControl w:val="0"/>
        <w:jc w:val="both"/>
        <w:rPr>
          <w:sz w:val="20"/>
          <w:lang w:val="fr-CA"/>
        </w:rPr>
      </w:pPr>
    </w:p>
    <w:p w:rsidR="00797C50" w:rsidRPr="0088082D" w:rsidRDefault="0088082D" w:rsidP="009B14F4">
      <w:pPr>
        <w:widowControl w:val="0"/>
        <w:jc w:val="both"/>
        <w:rPr>
          <w:sz w:val="20"/>
          <w:lang w:val="fr-CA"/>
        </w:rPr>
      </w:pPr>
      <w:r w:rsidRPr="0088082D">
        <w:rPr>
          <w:sz w:val="20"/>
        </w:rPr>
        <w:pict>
          <v:rect id="_x0000_i1025" style="width:2in;height:1pt" o:hrpct="0" o:hralign="center" o:hrstd="t" o:hrnoshade="t" o:hr="t" fillcolor="black [3213]" stroked="f"/>
        </w:pict>
      </w:r>
    </w:p>
    <w:p w:rsidR="00774C10" w:rsidRPr="0088082D" w:rsidRDefault="00774C10" w:rsidP="009B14F4">
      <w:pPr>
        <w:widowControl w:val="0"/>
        <w:jc w:val="both"/>
        <w:rPr>
          <w:sz w:val="20"/>
          <w:lang w:val="fr-CA"/>
        </w:rPr>
      </w:pPr>
    </w:p>
    <w:p w:rsidR="005B6C3B" w:rsidRPr="0088082D" w:rsidRDefault="005B6C3B" w:rsidP="00152A12">
      <w:pPr>
        <w:pStyle w:val="ListParagraph"/>
        <w:numPr>
          <w:ilvl w:val="0"/>
          <w:numId w:val="26"/>
        </w:numPr>
        <w:tabs>
          <w:tab w:val="left" w:pos="810"/>
        </w:tabs>
        <w:ind w:left="357" w:hanging="357"/>
        <w:rPr>
          <w:sz w:val="20"/>
        </w:rPr>
      </w:pPr>
      <w:r w:rsidRPr="0088082D">
        <w:rPr>
          <w:i/>
          <w:sz w:val="20"/>
        </w:rPr>
        <w:t>Ryan Curtis Reilly v. Her Majesty the Queen</w:t>
      </w:r>
      <w:r w:rsidRPr="0088082D">
        <w:rPr>
          <w:sz w:val="20"/>
        </w:rPr>
        <w:t xml:space="preserve"> (Alta.) (Criminal) (By Leave) (</w:t>
      </w:r>
      <w:hyperlink r:id="rId8" w:history="1">
        <w:r w:rsidRPr="0088082D">
          <w:rPr>
            <w:rStyle w:val="Hyperlink"/>
            <w:sz w:val="20"/>
            <w:szCs w:val="20"/>
          </w:rPr>
          <w:t>38</w:t>
        </w:r>
        <w:r w:rsidR="00FA7890" w:rsidRPr="0088082D">
          <w:rPr>
            <w:rStyle w:val="Hyperlink"/>
            <w:sz w:val="20"/>
            <w:szCs w:val="20"/>
          </w:rPr>
          <w:t>7</w:t>
        </w:r>
        <w:r w:rsidRPr="0088082D">
          <w:rPr>
            <w:rStyle w:val="Hyperlink"/>
            <w:sz w:val="20"/>
            <w:szCs w:val="20"/>
          </w:rPr>
          <w:t>8</w:t>
        </w:r>
        <w:r w:rsidR="00FA7890" w:rsidRPr="0088082D">
          <w:rPr>
            <w:rStyle w:val="Hyperlink"/>
            <w:sz w:val="20"/>
            <w:szCs w:val="20"/>
          </w:rPr>
          <w:t>5</w:t>
        </w:r>
      </w:hyperlink>
      <w:r w:rsidRPr="0088082D">
        <w:rPr>
          <w:sz w:val="20"/>
        </w:rPr>
        <w:t>)</w:t>
      </w:r>
    </w:p>
    <w:p w:rsidR="0083195E" w:rsidRPr="0088082D" w:rsidRDefault="0083195E" w:rsidP="0083195E">
      <w:pPr>
        <w:tabs>
          <w:tab w:val="left" w:pos="810"/>
        </w:tabs>
        <w:rPr>
          <w:sz w:val="20"/>
        </w:rPr>
      </w:pPr>
    </w:p>
    <w:p w:rsidR="00E01F72" w:rsidRPr="0088082D" w:rsidRDefault="00E01F72" w:rsidP="00152A12">
      <w:pPr>
        <w:pStyle w:val="SCCAppellantInfoAppellantInfo"/>
        <w:numPr>
          <w:ilvl w:val="0"/>
          <w:numId w:val="26"/>
        </w:numPr>
        <w:ind w:left="357" w:hanging="357"/>
        <w:rPr>
          <w:sz w:val="20"/>
          <w:szCs w:val="20"/>
          <w:lang w:val="en-US"/>
        </w:rPr>
      </w:pPr>
      <w:r w:rsidRPr="0088082D">
        <w:rPr>
          <w:i/>
          <w:sz w:val="20"/>
          <w:szCs w:val="20"/>
        </w:rPr>
        <w:t xml:space="preserve">Her Majesty the Queen in </w:t>
      </w:r>
      <w:r w:rsidR="00655775" w:rsidRPr="0088082D">
        <w:rPr>
          <w:i/>
          <w:sz w:val="20"/>
          <w:szCs w:val="20"/>
        </w:rPr>
        <w:t>R</w:t>
      </w:r>
      <w:r w:rsidRPr="0088082D">
        <w:rPr>
          <w:i/>
          <w:sz w:val="20"/>
          <w:szCs w:val="20"/>
        </w:rPr>
        <w:t>ight of Canada v. Thampeernayagam Rajaratnam, et al.</w:t>
      </w:r>
      <w:r w:rsidRPr="0088082D">
        <w:rPr>
          <w:sz w:val="20"/>
          <w:szCs w:val="20"/>
        </w:rPr>
        <w:t xml:space="preserve"> (B.C.) (Criminal) (By Leave)</w:t>
      </w:r>
      <w:r w:rsidR="00B61B2A" w:rsidRPr="0088082D">
        <w:rPr>
          <w:sz w:val="20"/>
          <w:szCs w:val="20"/>
          <w:lang w:val="en-US"/>
        </w:rPr>
        <w:t xml:space="preserve"> </w:t>
      </w:r>
      <w:r w:rsidR="00B61B2A" w:rsidRPr="0088082D">
        <w:rPr>
          <w:sz w:val="20"/>
          <w:szCs w:val="20"/>
        </w:rPr>
        <w:t>(</w:t>
      </w:r>
      <w:hyperlink r:id="rId9" w:history="1">
        <w:r w:rsidR="00B61B2A" w:rsidRPr="0088082D">
          <w:rPr>
            <w:rStyle w:val="Hyperlink"/>
            <w:sz w:val="20"/>
            <w:szCs w:val="20"/>
          </w:rPr>
          <w:t>38812</w:t>
        </w:r>
      </w:hyperlink>
      <w:r w:rsidR="00B61B2A" w:rsidRPr="0088082D">
        <w:rPr>
          <w:sz w:val="20"/>
          <w:szCs w:val="20"/>
        </w:rPr>
        <w:t>)</w:t>
      </w:r>
    </w:p>
    <w:p w:rsidR="00E01F72" w:rsidRPr="0088082D" w:rsidRDefault="00E01F72" w:rsidP="00152A12">
      <w:pPr>
        <w:ind w:left="357" w:hanging="357"/>
        <w:rPr>
          <w:sz w:val="20"/>
        </w:rPr>
      </w:pPr>
    </w:p>
    <w:p w:rsidR="00E01F72" w:rsidRPr="0088082D" w:rsidRDefault="00E01F72" w:rsidP="00152A12">
      <w:pPr>
        <w:pStyle w:val="SCCAppellantInfoAppellantInfo"/>
        <w:numPr>
          <w:ilvl w:val="0"/>
          <w:numId w:val="26"/>
        </w:numPr>
        <w:ind w:left="357" w:hanging="357"/>
        <w:rPr>
          <w:sz w:val="20"/>
          <w:szCs w:val="20"/>
        </w:rPr>
      </w:pPr>
      <w:r w:rsidRPr="0088082D">
        <w:rPr>
          <w:i/>
          <w:sz w:val="20"/>
          <w:szCs w:val="20"/>
        </w:rPr>
        <w:t>Corporation of the City of Victoria v. Canadian Plastic Bag Association</w:t>
      </w:r>
      <w:r w:rsidRPr="0088082D">
        <w:rPr>
          <w:sz w:val="20"/>
          <w:szCs w:val="20"/>
        </w:rPr>
        <w:t xml:space="preserve"> (B.C.) (Civil) (By Leave)</w:t>
      </w:r>
      <w:r w:rsidR="00B61B2A" w:rsidRPr="0088082D">
        <w:rPr>
          <w:sz w:val="20"/>
          <w:szCs w:val="20"/>
        </w:rPr>
        <w:t xml:space="preserve"> (</w:t>
      </w:r>
      <w:hyperlink r:id="rId10" w:history="1">
        <w:r w:rsidR="00B61B2A" w:rsidRPr="0088082D">
          <w:rPr>
            <w:rStyle w:val="Hyperlink"/>
            <w:sz w:val="20"/>
            <w:szCs w:val="20"/>
          </w:rPr>
          <w:t>38828</w:t>
        </w:r>
      </w:hyperlink>
      <w:r w:rsidR="00B61B2A" w:rsidRPr="0088082D">
        <w:rPr>
          <w:sz w:val="20"/>
          <w:szCs w:val="20"/>
        </w:rPr>
        <w:t>)</w:t>
      </w:r>
    </w:p>
    <w:p w:rsidR="00E01F72" w:rsidRPr="0088082D" w:rsidRDefault="00E01F72" w:rsidP="00152A12">
      <w:pPr>
        <w:ind w:left="357" w:hanging="357"/>
        <w:rPr>
          <w:sz w:val="20"/>
          <w:lang w:val="en-CA"/>
        </w:rPr>
      </w:pPr>
    </w:p>
    <w:p w:rsidR="00E01F72" w:rsidRPr="0088082D" w:rsidRDefault="00E01F72" w:rsidP="00152A12">
      <w:pPr>
        <w:pStyle w:val="SCCAppellantInfoAppellantInfo"/>
        <w:numPr>
          <w:ilvl w:val="0"/>
          <w:numId w:val="26"/>
        </w:numPr>
        <w:ind w:left="357" w:hanging="357"/>
        <w:rPr>
          <w:sz w:val="20"/>
          <w:szCs w:val="20"/>
        </w:rPr>
      </w:pPr>
      <w:r w:rsidRPr="0088082D">
        <w:rPr>
          <w:i/>
          <w:sz w:val="20"/>
          <w:szCs w:val="20"/>
        </w:rPr>
        <w:t>Kim Kevin Hunt c/o Bradley James Hunt and Justin Abraham Hunt v. Kathleen A. Worrod, et al.</w:t>
      </w:r>
      <w:r w:rsidRPr="0088082D">
        <w:rPr>
          <w:sz w:val="20"/>
          <w:szCs w:val="20"/>
        </w:rPr>
        <w:t xml:space="preserve"> (Ont.) (Civil) (By Leave)</w:t>
      </w:r>
      <w:r w:rsidR="00B61B2A" w:rsidRPr="0088082D">
        <w:rPr>
          <w:sz w:val="20"/>
          <w:szCs w:val="20"/>
        </w:rPr>
        <w:t xml:space="preserve"> (</w:t>
      </w:r>
      <w:hyperlink r:id="rId11" w:history="1">
        <w:r w:rsidR="00B61B2A" w:rsidRPr="0088082D">
          <w:rPr>
            <w:rStyle w:val="Hyperlink"/>
            <w:sz w:val="20"/>
            <w:szCs w:val="20"/>
          </w:rPr>
          <w:t>38822</w:t>
        </w:r>
      </w:hyperlink>
      <w:r w:rsidR="00B61B2A" w:rsidRPr="0088082D">
        <w:rPr>
          <w:sz w:val="20"/>
          <w:szCs w:val="20"/>
        </w:rPr>
        <w:t>)</w:t>
      </w:r>
    </w:p>
    <w:p w:rsidR="002866D9" w:rsidRPr="0088082D" w:rsidRDefault="002866D9" w:rsidP="00152A12">
      <w:pPr>
        <w:ind w:left="357" w:hanging="357"/>
        <w:rPr>
          <w:sz w:val="20"/>
        </w:rPr>
      </w:pPr>
    </w:p>
    <w:p w:rsidR="00291CCA" w:rsidRPr="0088082D" w:rsidRDefault="00291CCA" w:rsidP="00152A12">
      <w:pPr>
        <w:pStyle w:val="ListParagraph"/>
        <w:numPr>
          <w:ilvl w:val="0"/>
          <w:numId w:val="26"/>
        </w:numPr>
        <w:ind w:left="357" w:hanging="357"/>
        <w:rPr>
          <w:bCs/>
          <w:sz w:val="20"/>
          <w:u w:val="single"/>
          <w:lang w:val="en-CA"/>
        </w:rPr>
      </w:pPr>
      <w:r w:rsidRPr="0088082D">
        <w:rPr>
          <w:i/>
          <w:sz w:val="20"/>
        </w:rPr>
        <w:t>CIBC World Markets Inc./ Marches Mondiaux CIBC Inc., carrying on business as CIBC Wood Gundy v. Gayle Crooks, et al.</w:t>
      </w:r>
      <w:r w:rsidRPr="0088082D">
        <w:rPr>
          <w:sz w:val="20"/>
        </w:rPr>
        <w:t xml:space="preserve"> (N.S.) (Civil) (By Leave) (</w:t>
      </w:r>
      <w:hyperlink r:id="rId12" w:history="1">
        <w:r w:rsidRPr="0088082D">
          <w:rPr>
            <w:rStyle w:val="Hyperlink"/>
            <w:sz w:val="20"/>
            <w:szCs w:val="20"/>
          </w:rPr>
          <w:t>38</w:t>
        </w:r>
        <w:r w:rsidRPr="0088082D">
          <w:rPr>
            <w:rStyle w:val="Hyperlink"/>
            <w:sz w:val="20"/>
          </w:rPr>
          <w:t>7</w:t>
        </w:r>
        <w:r w:rsidRPr="0088082D">
          <w:rPr>
            <w:rStyle w:val="Hyperlink"/>
            <w:sz w:val="20"/>
            <w:szCs w:val="20"/>
          </w:rPr>
          <w:t>8</w:t>
        </w:r>
        <w:r w:rsidRPr="0088082D">
          <w:rPr>
            <w:rStyle w:val="Hyperlink"/>
            <w:sz w:val="20"/>
          </w:rPr>
          <w:t>7</w:t>
        </w:r>
      </w:hyperlink>
      <w:r w:rsidRPr="0088082D">
        <w:rPr>
          <w:sz w:val="20"/>
        </w:rPr>
        <w:t>)</w:t>
      </w:r>
    </w:p>
    <w:p w:rsidR="00291CCA" w:rsidRPr="0088082D" w:rsidRDefault="00291CCA" w:rsidP="006A22CA">
      <w:pPr>
        <w:ind w:left="142" w:hanging="142"/>
        <w:jc w:val="both"/>
        <w:rPr>
          <w:sz w:val="20"/>
        </w:rPr>
      </w:pPr>
    </w:p>
    <w:p w:rsidR="00797C50" w:rsidRPr="0088082D" w:rsidRDefault="0088082D" w:rsidP="006A22CA">
      <w:pPr>
        <w:ind w:left="142" w:hanging="142"/>
        <w:jc w:val="both"/>
        <w:rPr>
          <w:sz w:val="20"/>
        </w:rPr>
      </w:pPr>
      <w:r w:rsidRPr="0088082D">
        <w:rPr>
          <w:sz w:val="20"/>
        </w:rPr>
        <w:pict>
          <v:rect id="_x0000_i1026" style="width:2in;height:1pt" o:hrpct="0" o:hralign="center" o:hrstd="t" o:hrnoshade="t" o:hr="t" fillcolor="black [3213]" stroked="f"/>
        </w:pict>
      </w:r>
    </w:p>
    <w:p w:rsidR="00CA1087" w:rsidRPr="0088082D" w:rsidRDefault="00CA1087" w:rsidP="00FE413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rPr>
            </w:pPr>
            <w:r w:rsidRPr="0088082D">
              <w:rPr>
                <w:rStyle w:val="SCCFileNumberChar"/>
                <w:sz w:val="20"/>
                <w:szCs w:val="20"/>
              </w:rPr>
              <w:t>38785</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Ryan Curtis Reilly v. Her Majesty the Queen</w:t>
            </w:r>
          </w:p>
          <w:p w:rsidR="0088648B" w:rsidRPr="0088082D" w:rsidRDefault="0088648B" w:rsidP="006C75A6">
            <w:pPr>
              <w:jc w:val="both"/>
              <w:rPr>
                <w:sz w:val="20"/>
              </w:rPr>
            </w:pPr>
            <w:r w:rsidRPr="0088082D">
              <w:rPr>
                <w:sz w:val="20"/>
              </w:rPr>
              <w:t>(Alta.) (Criminal) (By Leave)</w:t>
            </w:r>
          </w:p>
        </w:tc>
      </w:tr>
      <w:tr w:rsidR="0088648B" w:rsidRPr="0088082D" w:rsidTr="00E95A6A">
        <w:tc>
          <w:tcPr>
            <w:tcW w:w="5000" w:type="pct"/>
            <w:gridSpan w:val="4"/>
          </w:tcPr>
          <w:p w:rsidR="0088648B" w:rsidRPr="0088082D" w:rsidRDefault="0088648B" w:rsidP="006C75A6">
            <w:pPr>
              <w:jc w:val="both"/>
              <w:rPr>
                <w:sz w:val="20"/>
              </w:rPr>
            </w:pPr>
            <w:r w:rsidRPr="0088082D">
              <w:rPr>
                <w:i/>
                <w:sz w:val="20"/>
              </w:rPr>
              <w:t>Charter of Rights</w:t>
            </w:r>
            <w:r w:rsidRPr="0088082D">
              <w:rPr>
                <w:sz w:val="20"/>
              </w:rPr>
              <w:t xml:space="preserve"> — Right to life, liberty and security of person — Arbitrary detention — Right to bail — Remedy — Delay in applicant’s first appearance Applicant’s </w:t>
            </w:r>
            <w:r w:rsidRPr="0088082D">
              <w:rPr>
                <w:i/>
                <w:sz w:val="20"/>
              </w:rPr>
              <w:t>Charter</w:t>
            </w:r>
            <w:r w:rsidRPr="0088082D">
              <w:rPr>
                <w:sz w:val="20"/>
              </w:rPr>
              <w:t xml:space="preserve"> rights breached — </w:t>
            </w:r>
            <w:r w:rsidRPr="0088082D">
              <w:rPr>
                <w:sz w:val="20"/>
                <w:lang w:val="en"/>
              </w:rPr>
              <w:t xml:space="preserve">Whether stay of proceedings was appropriate remedy for </w:t>
            </w:r>
            <w:r w:rsidRPr="0088082D">
              <w:rPr>
                <w:i/>
                <w:sz w:val="20"/>
                <w:lang w:val="en"/>
              </w:rPr>
              <w:t>Charter</w:t>
            </w:r>
            <w:r w:rsidRPr="0088082D">
              <w:rPr>
                <w:sz w:val="20"/>
                <w:lang w:val="en"/>
              </w:rPr>
              <w:t xml:space="preserve"> breach</w:t>
            </w:r>
            <w:r w:rsidRPr="0088082D">
              <w:rPr>
                <w:sz w:val="20"/>
              </w:rPr>
              <w:t xml:space="preserve"> — Whether the Court of Appeal applied the appropriate standard of review — Whether the Court of Appeal properly applied the decision in </w:t>
            </w:r>
            <w:r w:rsidRPr="0088082D">
              <w:rPr>
                <w:i/>
                <w:sz w:val="20"/>
              </w:rPr>
              <w:t>R. v. Babos</w:t>
            </w:r>
            <w:r w:rsidRPr="0088082D">
              <w:rPr>
                <w:sz w:val="20"/>
              </w:rPr>
              <w:t xml:space="preserve">, 2014 SCC 16, [2014] 1 S.C.R. 309 — Whether the Court of Appeal erred in concluding that a stay was not an appropriate remedy — ss. 7, 9, 11(e), 24(2) of the </w:t>
            </w:r>
            <w:r w:rsidRPr="0088082D">
              <w:rPr>
                <w:i/>
                <w:sz w:val="20"/>
              </w:rPr>
              <w:t>Canadian Charter of Rights and Freedoms</w:t>
            </w:r>
            <w:r w:rsidRPr="0088082D">
              <w:rPr>
                <w:sz w:val="20"/>
              </w:rPr>
              <w:t>.</w:t>
            </w:r>
          </w:p>
          <w:p w:rsidR="0088648B" w:rsidRPr="0088082D" w:rsidRDefault="0088648B" w:rsidP="006C75A6">
            <w:pPr>
              <w:jc w:val="both"/>
              <w:rPr>
                <w:sz w:val="20"/>
              </w:rPr>
            </w:pPr>
          </w:p>
        </w:tc>
      </w:tr>
      <w:tr w:rsidR="0088648B" w:rsidRPr="0088082D" w:rsidTr="00E95A6A">
        <w:tc>
          <w:tcPr>
            <w:tcW w:w="5000" w:type="pct"/>
            <w:gridSpan w:val="4"/>
          </w:tcPr>
          <w:p w:rsidR="0088648B" w:rsidRPr="0088082D" w:rsidRDefault="0088648B" w:rsidP="006C75A6">
            <w:pPr>
              <w:jc w:val="both"/>
              <w:rPr>
                <w:sz w:val="20"/>
                <w:lang w:val="en"/>
              </w:rPr>
            </w:pPr>
            <w:r w:rsidRPr="0088082D">
              <w:rPr>
                <w:sz w:val="20"/>
                <w:lang w:val="en"/>
              </w:rPr>
              <w:t xml:space="preserve">The allegations against the applicant were that he had an argument with his intimate partner. It is alleged that he grabbed her by the neck, pushed her, pinned her down, and pushed her back against the stairs. She believes she briefly </w:t>
            </w:r>
            <w:r w:rsidRPr="0088082D">
              <w:rPr>
                <w:sz w:val="20"/>
                <w:lang w:val="en"/>
              </w:rPr>
              <w:lastRenderedPageBreak/>
              <w:t xml:space="preserve">lost consciousness. As a result of the argument, the complainant had a swollen finger, and red marks on her neck and buttocks. At the time the applicant was under conditions of probation requiring him to keep the peace (arising from a conviction for uttering threats against another person). The applicant was arrested on April 4, 2017 at 11:50 a.m. He was not brought before a justice for his bail hearing until April 5, 2017 at 10:59 p.m. </w:t>
            </w:r>
            <w:r w:rsidRPr="0088082D">
              <w:rPr>
                <w:sz w:val="20"/>
              </w:rPr>
              <w:t>The Crown conceded that the applicant had been held for longer than 24 hours before he was taken before a justice contrary to s. </w:t>
            </w:r>
            <w:r w:rsidRPr="0088082D">
              <w:rPr>
                <w:sz w:val="20"/>
                <w:lang w:val="en"/>
              </w:rPr>
              <w:t xml:space="preserve">503(1)(a) of the </w:t>
            </w:r>
            <w:r w:rsidRPr="0088082D">
              <w:rPr>
                <w:i/>
                <w:sz w:val="20"/>
                <w:lang w:val="en"/>
              </w:rPr>
              <w:t>Criminal Code</w:t>
            </w:r>
            <w:r w:rsidRPr="0088082D">
              <w:rPr>
                <w:sz w:val="20"/>
              </w:rPr>
              <w:t>, R.S.C. 1985, c. C</w:t>
            </w:r>
            <w:r w:rsidRPr="0088082D">
              <w:rPr>
                <w:sz w:val="20"/>
              </w:rPr>
              <w:noBreakHyphen/>
              <w:t xml:space="preserve">46, and that this was a breach of his ss. 7, 9 and 11(e) </w:t>
            </w:r>
            <w:r w:rsidRPr="0088082D">
              <w:rPr>
                <w:i/>
                <w:sz w:val="20"/>
              </w:rPr>
              <w:t>Charter</w:t>
            </w:r>
            <w:r w:rsidRPr="0088082D">
              <w:rPr>
                <w:sz w:val="20"/>
              </w:rPr>
              <w:t xml:space="preserve"> rights. The provincial court judge issued a stay of proceedings. The Court of Appeal set aside the stay of proceedings and ordered the applicant to stand trial.</w:t>
            </w:r>
          </w:p>
        </w:tc>
      </w:tr>
      <w:tr w:rsidR="0088648B" w:rsidRPr="0088082D" w:rsidTr="00E95A6A">
        <w:tc>
          <w:tcPr>
            <w:tcW w:w="5000" w:type="pct"/>
            <w:gridSpan w:val="4"/>
          </w:tcPr>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April 19, 2018</w:t>
            </w:r>
          </w:p>
          <w:p w:rsidR="0088648B" w:rsidRPr="0088082D" w:rsidRDefault="0088648B" w:rsidP="006C75A6">
            <w:pPr>
              <w:jc w:val="both"/>
              <w:rPr>
                <w:sz w:val="20"/>
              </w:rPr>
            </w:pPr>
            <w:r w:rsidRPr="0088082D">
              <w:rPr>
                <w:sz w:val="20"/>
              </w:rPr>
              <w:t>Provincial Court of Alberta</w:t>
            </w:r>
          </w:p>
          <w:p w:rsidR="0088648B" w:rsidRPr="0088082D" w:rsidRDefault="0088648B" w:rsidP="006C75A6">
            <w:pPr>
              <w:jc w:val="both"/>
              <w:rPr>
                <w:sz w:val="20"/>
              </w:rPr>
            </w:pPr>
            <w:r w:rsidRPr="0088082D">
              <w:rPr>
                <w:sz w:val="20"/>
              </w:rPr>
              <w:t>(Cochard P.C.J.)</w:t>
            </w:r>
          </w:p>
          <w:p w:rsidR="0088648B" w:rsidRPr="0088082D" w:rsidRDefault="0088082D" w:rsidP="006C75A6">
            <w:pPr>
              <w:jc w:val="both"/>
              <w:rPr>
                <w:sz w:val="20"/>
              </w:rPr>
            </w:pPr>
            <w:hyperlink r:id="rId13" w:history="1">
              <w:r w:rsidR="0088648B" w:rsidRPr="0088082D">
                <w:rPr>
                  <w:rStyle w:val="Hyperlink"/>
                  <w:sz w:val="20"/>
                </w:rPr>
                <w:t>2018 ABPC 85</w:t>
              </w:r>
            </w:hyperlink>
            <w:r w:rsidR="0088648B" w:rsidRPr="0088082D">
              <w:rPr>
                <w:sz w:val="20"/>
              </w:rPr>
              <w:t xml:space="preserve"> </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Application for a stay of proceedings granted</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May 28, 2019</w:t>
            </w:r>
          </w:p>
          <w:p w:rsidR="0088648B" w:rsidRPr="0088082D" w:rsidRDefault="0088648B" w:rsidP="006C75A6">
            <w:pPr>
              <w:jc w:val="both"/>
              <w:rPr>
                <w:sz w:val="20"/>
              </w:rPr>
            </w:pPr>
            <w:r w:rsidRPr="0088082D">
              <w:rPr>
                <w:sz w:val="20"/>
              </w:rPr>
              <w:t>Court of Appeal of Alberta (Edmonton)</w:t>
            </w:r>
          </w:p>
          <w:p w:rsidR="0088648B" w:rsidRPr="0088082D" w:rsidRDefault="0088648B" w:rsidP="006C75A6">
            <w:pPr>
              <w:jc w:val="both"/>
              <w:rPr>
                <w:sz w:val="20"/>
              </w:rPr>
            </w:pPr>
            <w:r w:rsidRPr="0088082D">
              <w:rPr>
                <w:sz w:val="20"/>
              </w:rPr>
              <w:t>(Martin, Slatter, Pentelechuck JJ.A.)</w:t>
            </w:r>
          </w:p>
          <w:p w:rsidR="0088648B" w:rsidRPr="0088082D" w:rsidRDefault="0088082D" w:rsidP="006C75A6">
            <w:pPr>
              <w:jc w:val="both"/>
              <w:rPr>
                <w:sz w:val="20"/>
              </w:rPr>
            </w:pPr>
            <w:hyperlink r:id="rId14" w:history="1">
              <w:r w:rsidR="0088648B" w:rsidRPr="0088082D">
                <w:rPr>
                  <w:rStyle w:val="Hyperlink"/>
                  <w:sz w:val="20"/>
                </w:rPr>
                <w:t>2019 ABCA 212</w:t>
              </w:r>
            </w:hyperlink>
          </w:p>
          <w:p w:rsidR="0088648B" w:rsidRPr="0088082D" w:rsidRDefault="0088648B" w:rsidP="006C75A6">
            <w:pPr>
              <w:jc w:val="both"/>
              <w:rPr>
                <w:sz w:val="20"/>
              </w:rPr>
            </w:pPr>
            <w:r w:rsidRPr="0088082D">
              <w:rPr>
                <w:sz w:val="20"/>
              </w:rPr>
              <w:t>1803</w:t>
            </w:r>
            <w:r w:rsidRPr="0088082D">
              <w:rPr>
                <w:sz w:val="20"/>
              </w:rPr>
              <w:noBreakHyphen/>
              <w:t>0092</w:t>
            </w:r>
            <w:r w:rsidRPr="0088082D">
              <w:rPr>
                <w:sz w:val="20"/>
              </w:rPr>
              <w:noBreakHyphen/>
              <w:t>A</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Stay of proceedings set aside; applicant ordered to stand trial</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August 27, 2019</w:t>
            </w:r>
          </w:p>
          <w:p w:rsidR="0088648B" w:rsidRPr="0088082D" w:rsidRDefault="0088648B" w:rsidP="006C75A6">
            <w:pPr>
              <w:jc w:val="both"/>
              <w:rPr>
                <w:sz w:val="20"/>
              </w:rPr>
            </w:pPr>
            <w:r w:rsidRPr="0088082D">
              <w:rPr>
                <w:sz w:val="20"/>
              </w:rPr>
              <w:t>Supreme Court of Canada</w:t>
            </w: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Application for leave to appeal filed</w:t>
            </w:r>
          </w:p>
          <w:p w:rsidR="0088648B" w:rsidRPr="0088082D" w:rsidRDefault="0088648B" w:rsidP="006C75A6">
            <w:pPr>
              <w:jc w:val="both"/>
              <w:rPr>
                <w:sz w:val="20"/>
              </w:rPr>
            </w:pPr>
          </w:p>
        </w:tc>
      </w:tr>
    </w:tbl>
    <w:p w:rsidR="0088648B" w:rsidRPr="0088082D" w:rsidRDefault="0088648B" w:rsidP="006C75A6">
      <w:pPr>
        <w:jc w:val="both"/>
        <w:rPr>
          <w:sz w:val="20"/>
        </w:rPr>
      </w:pPr>
    </w:p>
    <w:p w:rsidR="0088648B" w:rsidRPr="0088082D" w:rsidRDefault="0088082D" w:rsidP="006C75A6">
      <w:pPr>
        <w:jc w:val="both"/>
        <w:rPr>
          <w:sz w:val="20"/>
        </w:rPr>
      </w:pPr>
      <w:r w:rsidRPr="0088082D">
        <w:rPr>
          <w:sz w:val="20"/>
        </w:rPr>
        <w:pict>
          <v:rect id="_x0000_i1027" style="width:2in;height:1pt" o:hrpct="0" o:hralign="center" o:hrstd="t" o:hrnoshade="t" o:hr="t" fillcolor="black [3213]" stroked="f"/>
        </w:pict>
      </w:r>
    </w:p>
    <w:p w:rsidR="0088648B" w:rsidRPr="0088082D" w:rsidRDefault="0088648B" w:rsidP="006C75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lang w:val="fr-CA"/>
              </w:rPr>
            </w:pPr>
            <w:r w:rsidRPr="0088082D">
              <w:rPr>
                <w:rStyle w:val="SCCFileNumberChar"/>
                <w:sz w:val="20"/>
                <w:szCs w:val="20"/>
                <w:lang w:val="fr-CA"/>
              </w:rPr>
              <w:t>38785</w:t>
            </w:r>
          </w:p>
        </w:tc>
        <w:tc>
          <w:tcPr>
            <w:tcW w:w="4457" w:type="pct"/>
            <w:gridSpan w:val="3"/>
          </w:tcPr>
          <w:p w:rsidR="0088648B" w:rsidRPr="0088082D" w:rsidRDefault="0088648B" w:rsidP="006C75A6">
            <w:pPr>
              <w:pStyle w:val="SCCLsocParty"/>
              <w:jc w:val="both"/>
              <w:rPr>
                <w:b/>
                <w:sz w:val="20"/>
                <w:szCs w:val="20"/>
              </w:rPr>
            </w:pPr>
            <w:r w:rsidRPr="0088082D">
              <w:rPr>
                <w:b/>
                <w:sz w:val="20"/>
                <w:szCs w:val="20"/>
              </w:rPr>
              <w:t>Ryan Curtis Reilly c. Sa Majesté la Reine</w:t>
            </w:r>
          </w:p>
          <w:p w:rsidR="0088648B" w:rsidRPr="0088082D" w:rsidRDefault="0088648B" w:rsidP="006C75A6">
            <w:pPr>
              <w:jc w:val="both"/>
              <w:rPr>
                <w:sz w:val="20"/>
                <w:lang w:val="fr-CA"/>
              </w:rPr>
            </w:pPr>
            <w:r w:rsidRPr="0088082D">
              <w:rPr>
                <w:sz w:val="20"/>
                <w:lang w:val="fr-CA"/>
              </w:rPr>
              <w:t>(Alb.) (Criminelle) (Autorisation)</w:t>
            </w:r>
          </w:p>
        </w:tc>
      </w:tr>
      <w:tr w:rsidR="0088648B" w:rsidRPr="0088082D" w:rsidTr="00E95A6A">
        <w:tc>
          <w:tcPr>
            <w:tcW w:w="5000" w:type="pct"/>
            <w:gridSpan w:val="4"/>
          </w:tcPr>
          <w:p w:rsidR="0088648B" w:rsidRPr="0088082D" w:rsidRDefault="0088648B" w:rsidP="006C75A6">
            <w:pPr>
              <w:jc w:val="both"/>
              <w:rPr>
                <w:sz w:val="20"/>
                <w:lang w:val="fr-CA"/>
              </w:rPr>
            </w:pPr>
            <w:r w:rsidRPr="0088082D">
              <w:rPr>
                <w:i/>
                <w:sz w:val="20"/>
                <w:lang w:val="fr-CA"/>
              </w:rPr>
              <w:t>Charte des droits</w:t>
            </w:r>
            <w:r w:rsidRPr="0088082D">
              <w:rPr>
                <w:sz w:val="20"/>
                <w:lang w:val="fr-CA"/>
              </w:rPr>
              <w:t xml:space="preserve"> — Droit à la vie, à la liberté et à la sécurité de la personne — Détention arbitraire — Droit à la mise en liberté sous caution — Réparation — Retard de la première comparution du demandeur — Violation des droits que la </w:t>
            </w:r>
            <w:r w:rsidRPr="0088082D">
              <w:rPr>
                <w:i/>
                <w:sz w:val="20"/>
                <w:lang w:val="fr-CA"/>
              </w:rPr>
              <w:t>Charte</w:t>
            </w:r>
            <w:r w:rsidRPr="0088082D">
              <w:rPr>
                <w:sz w:val="20"/>
                <w:lang w:val="fr-CA"/>
              </w:rPr>
              <w:t xml:space="preserve"> garantit au demandeur — L’arrêt des procédures était</w:t>
            </w:r>
            <w:r w:rsidRPr="0088082D">
              <w:rPr>
                <w:sz w:val="20"/>
                <w:lang w:val="fr-CA"/>
              </w:rPr>
              <w:noBreakHyphen/>
              <w:t xml:space="preserve">il la réparation appropriée pour ce qui concerne la violation de la </w:t>
            </w:r>
            <w:r w:rsidRPr="0088082D">
              <w:rPr>
                <w:i/>
                <w:sz w:val="20"/>
                <w:lang w:val="fr-CA"/>
              </w:rPr>
              <w:t>Charte</w:t>
            </w:r>
            <w:r w:rsidRPr="0088082D">
              <w:rPr>
                <w:sz w:val="20"/>
                <w:lang w:val="fr-CA"/>
              </w:rPr>
              <w:t>? — La Cour d’appel a</w:t>
            </w:r>
            <w:r w:rsidRPr="0088082D">
              <w:rPr>
                <w:sz w:val="20"/>
                <w:lang w:val="fr-CA"/>
              </w:rPr>
              <w:noBreakHyphen/>
              <w:t>t</w:t>
            </w:r>
            <w:r w:rsidRPr="0088082D">
              <w:rPr>
                <w:sz w:val="20"/>
                <w:lang w:val="fr-CA"/>
              </w:rPr>
              <w:noBreakHyphen/>
              <w:t>elle appliqué la norme de contrôle appropriée? — La Cour d’appel a</w:t>
            </w:r>
            <w:r w:rsidRPr="0088082D">
              <w:rPr>
                <w:sz w:val="20"/>
                <w:lang w:val="fr-CA"/>
              </w:rPr>
              <w:noBreakHyphen/>
              <w:t>t</w:t>
            </w:r>
            <w:r w:rsidRPr="0088082D">
              <w:rPr>
                <w:sz w:val="20"/>
                <w:lang w:val="fr-CA"/>
              </w:rPr>
              <w:noBreakHyphen/>
              <w:t xml:space="preserve">elle correctement appliqué l’arrêt </w:t>
            </w:r>
            <w:r w:rsidRPr="0088082D">
              <w:rPr>
                <w:i/>
                <w:sz w:val="20"/>
                <w:lang w:val="fr-CA"/>
              </w:rPr>
              <w:t xml:space="preserve">R. c. </w:t>
            </w:r>
            <w:proofErr w:type="spellStart"/>
            <w:r w:rsidRPr="0088082D">
              <w:rPr>
                <w:i/>
                <w:sz w:val="20"/>
                <w:lang w:val="fr-CA"/>
              </w:rPr>
              <w:t>Babos</w:t>
            </w:r>
            <w:proofErr w:type="spellEnd"/>
            <w:r w:rsidRPr="0088082D">
              <w:rPr>
                <w:sz w:val="20"/>
                <w:lang w:val="fr-CA"/>
              </w:rPr>
              <w:t>, 2014 CSC 16, [2014] 1 R.C.S. 309? — La Cour d’appel a</w:t>
            </w:r>
            <w:r w:rsidRPr="0088082D">
              <w:rPr>
                <w:sz w:val="20"/>
                <w:lang w:val="fr-CA"/>
              </w:rPr>
              <w:noBreakHyphen/>
              <w:t>t</w:t>
            </w:r>
            <w:r w:rsidRPr="0088082D">
              <w:rPr>
                <w:sz w:val="20"/>
                <w:lang w:val="fr-CA"/>
              </w:rPr>
              <w:noBreakHyphen/>
              <w:t xml:space="preserve">elle eu tort de conclure que l’arrêt des procédures n’était pas la réparation appropriée? — Art. 7, 9, 11e) et 24(2) de la </w:t>
            </w:r>
            <w:r w:rsidRPr="0088082D">
              <w:rPr>
                <w:i/>
                <w:sz w:val="20"/>
                <w:lang w:val="fr-CA"/>
              </w:rPr>
              <w:t>Charte canadienne des droits et libertés</w:t>
            </w:r>
            <w:r w:rsidRPr="0088082D">
              <w:rPr>
                <w:sz w:val="20"/>
                <w:lang w:val="fr-CA"/>
              </w:rPr>
              <w:t>.</w:t>
            </w:r>
          </w:p>
          <w:p w:rsidR="0088648B" w:rsidRPr="0088082D" w:rsidRDefault="0088648B" w:rsidP="006C75A6">
            <w:pPr>
              <w:jc w:val="both"/>
              <w:rPr>
                <w:sz w:val="20"/>
                <w:lang w:val="fr-CA"/>
              </w:rPr>
            </w:pPr>
          </w:p>
        </w:tc>
      </w:tr>
      <w:tr w:rsidR="0088648B" w:rsidRPr="0088082D" w:rsidTr="00E95A6A">
        <w:tc>
          <w:tcPr>
            <w:tcW w:w="5000" w:type="pct"/>
            <w:gridSpan w:val="4"/>
          </w:tcPr>
          <w:p w:rsidR="0088648B" w:rsidRPr="0088082D" w:rsidRDefault="0088648B" w:rsidP="006C75A6">
            <w:pPr>
              <w:jc w:val="both"/>
              <w:rPr>
                <w:sz w:val="20"/>
                <w:lang w:val="fr-CA"/>
              </w:rPr>
            </w:pPr>
            <w:r w:rsidRPr="0088082D">
              <w:rPr>
                <w:sz w:val="20"/>
                <w:lang w:val="fr-CA"/>
              </w:rPr>
              <w:t xml:space="preserve">Il est allégué que demandeur se serait disputé avec sa compagne intime. Il l’aurait empoignée par le cou, poussée, clouée au sol et plaquée dos contre un escalier. La plaignante croit avoir brièvement perdu connaissance. À la suite de la dispute, la plaignante avait un doigt enflé et des marques rouges au cou et aux fesses. À l’époque, le demandeur devait respecter des conditions de probation qui l’obligeaient à garder la paix (découlant d’une déclaration de culpabilité pour avoir proféré des menaces contre une autre personne). Le demandeur a été arrêté le 4 avril 2017 à 11 h 50. Ce n’est que le 5 avril 2017 à 22 h 59 qu’il a été conduit devant un juge de paix pour une audition sur le cautionnement. Le ministère public a reconnu que le demandeur avait été sous garde plus de 24 heures avant d’être conduit devant un juge de paix, en contravention de l’al. 503(1)a) du </w:t>
            </w:r>
            <w:r w:rsidRPr="0088082D">
              <w:rPr>
                <w:i/>
                <w:sz w:val="20"/>
                <w:lang w:val="fr-CA"/>
              </w:rPr>
              <w:t>Code criminel</w:t>
            </w:r>
            <w:r w:rsidRPr="0088082D">
              <w:rPr>
                <w:sz w:val="20"/>
                <w:lang w:val="fr-CA"/>
              </w:rPr>
              <w:t>, L.R.C. 1985, ch. C</w:t>
            </w:r>
            <w:r w:rsidRPr="0088082D">
              <w:rPr>
                <w:sz w:val="20"/>
                <w:lang w:val="fr-CA"/>
              </w:rPr>
              <w:noBreakHyphen/>
              <w:t xml:space="preserve">46, et qu’il s’agissait d’une violation des droits que lui garantissent </w:t>
            </w:r>
            <w:proofErr w:type="gramStart"/>
            <w:r w:rsidRPr="0088082D">
              <w:rPr>
                <w:sz w:val="20"/>
                <w:lang w:val="fr-CA"/>
              </w:rPr>
              <w:t>les art</w:t>
            </w:r>
            <w:proofErr w:type="gramEnd"/>
            <w:r w:rsidRPr="0088082D">
              <w:rPr>
                <w:sz w:val="20"/>
                <w:lang w:val="fr-CA"/>
              </w:rPr>
              <w:t xml:space="preserve">. 7, 9 et 11e) de la </w:t>
            </w:r>
            <w:r w:rsidRPr="0088082D">
              <w:rPr>
                <w:i/>
                <w:sz w:val="20"/>
                <w:lang w:val="fr-CA"/>
              </w:rPr>
              <w:t>Charte</w:t>
            </w:r>
            <w:r w:rsidRPr="0088082D">
              <w:rPr>
                <w:sz w:val="20"/>
                <w:lang w:val="fr-CA"/>
              </w:rPr>
              <w:t>. La juge de la cour provinciale a prononcé l’arrêt des procédures. La Cour d’appel a annulé l’arrêt des procédures et a ordonné que le demandeur subisse son procès.</w:t>
            </w:r>
          </w:p>
        </w:tc>
      </w:tr>
      <w:tr w:rsidR="0088648B" w:rsidRPr="0088082D" w:rsidTr="00E95A6A">
        <w:tc>
          <w:tcPr>
            <w:tcW w:w="5000" w:type="pct"/>
            <w:gridSpan w:val="4"/>
          </w:tcPr>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19 avril 2018</w:t>
            </w:r>
          </w:p>
          <w:p w:rsidR="0088648B" w:rsidRPr="0088082D" w:rsidRDefault="0088648B" w:rsidP="006C75A6">
            <w:pPr>
              <w:jc w:val="both"/>
              <w:rPr>
                <w:sz w:val="20"/>
                <w:lang w:val="fr-CA"/>
              </w:rPr>
            </w:pPr>
            <w:r w:rsidRPr="0088082D">
              <w:rPr>
                <w:sz w:val="20"/>
                <w:lang w:val="fr-CA"/>
              </w:rPr>
              <w:t>Cour provinciale de l’Alberta</w:t>
            </w:r>
          </w:p>
          <w:p w:rsidR="0088648B" w:rsidRPr="0088082D" w:rsidRDefault="0088648B" w:rsidP="006C75A6">
            <w:pPr>
              <w:jc w:val="both"/>
              <w:rPr>
                <w:sz w:val="20"/>
                <w:lang w:val="fr-CA"/>
              </w:rPr>
            </w:pPr>
            <w:r w:rsidRPr="0088082D">
              <w:rPr>
                <w:sz w:val="20"/>
                <w:lang w:val="fr-CA"/>
              </w:rPr>
              <w:t xml:space="preserve">(Juge </w:t>
            </w:r>
            <w:proofErr w:type="spellStart"/>
            <w:r w:rsidRPr="0088082D">
              <w:rPr>
                <w:sz w:val="20"/>
                <w:lang w:val="fr-CA"/>
              </w:rPr>
              <w:t>Cochard</w:t>
            </w:r>
            <w:proofErr w:type="spellEnd"/>
            <w:r w:rsidRPr="0088082D">
              <w:rPr>
                <w:sz w:val="20"/>
                <w:lang w:val="fr-CA"/>
              </w:rPr>
              <w:t>)</w:t>
            </w:r>
          </w:p>
          <w:p w:rsidR="0088648B" w:rsidRPr="0088082D" w:rsidRDefault="0088082D" w:rsidP="006C75A6">
            <w:pPr>
              <w:jc w:val="both"/>
              <w:rPr>
                <w:sz w:val="20"/>
                <w:lang w:val="fr-CA"/>
              </w:rPr>
            </w:pPr>
            <w:hyperlink r:id="rId15" w:history="1">
              <w:r w:rsidR="0088648B" w:rsidRPr="0088082D">
                <w:rPr>
                  <w:rStyle w:val="Hyperlink"/>
                  <w:sz w:val="20"/>
                  <w:lang w:val="fr-CA"/>
                </w:rPr>
                <w:t>2018 ABPC 85</w:t>
              </w:r>
            </w:hyperlink>
            <w:r w:rsidR="0088648B" w:rsidRPr="0088082D">
              <w:rPr>
                <w:sz w:val="20"/>
                <w:lang w:val="fr-CA"/>
              </w:rPr>
              <w:t xml:space="preserve"> </w:t>
            </w: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Jugement accueillant la demande d’arrêt des procédures</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28 mai 2019</w:t>
            </w:r>
          </w:p>
          <w:p w:rsidR="0088648B" w:rsidRPr="0088082D" w:rsidRDefault="0088648B" w:rsidP="006C75A6">
            <w:pPr>
              <w:jc w:val="both"/>
              <w:rPr>
                <w:sz w:val="20"/>
                <w:lang w:val="fr-CA"/>
              </w:rPr>
            </w:pPr>
            <w:r w:rsidRPr="0088082D">
              <w:rPr>
                <w:sz w:val="20"/>
                <w:lang w:val="fr-CA"/>
              </w:rPr>
              <w:t>Cour d’appel de l’Alberta (Edmonton)</w:t>
            </w:r>
          </w:p>
          <w:p w:rsidR="0088648B" w:rsidRPr="0088082D" w:rsidRDefault="0088648B" w:rsidP="006C75A6">
            <w:pPr>
              <w:jc w:val="both"/>
              <w:rPr>
                <w:sz w:val="20"/>
                <w:lang w:val="fr-CA"/>
              </w:rPr>
            </w:pPr>
            <w:r w:rsidRPr="0088082D">
              <w:rPr>
                <w:sz w:val="20"/>
                <w:lang w:val="fr-CA"/>
              </w:rPr>
              <w:lastRenderedPageBreak/>
              <w:t xml:space="preserve">(Juges Martin, </w:t>
            </w:r>
            <w:proofErr w:type="spellStart"/>
            <w:r w:rsidRPr="0088082D">
              <w:rPr>
                <w:sz w:val="20"/>
                <w:lang w:val="fr-CA"/>
              </w:rPr>
              <w:t>Slatter</w:t>
            </w:r>
            <w:proofErr w:type="spellEnd"/>
            <w:r w:rsidRPr="0088082D">
              <w:rPr>
                <w:sz w:val="20"/>
                <w:lang w:val="fr-CA"/>
              </w:rPr>
              <w:t xml:space="preserve"> et </w:t>
            </w:r>
            <w:proofErr w:type="spellStart"/>
            <w:r w:rsidRPr="0088082D">
              <w:rPr>
                <w:sz w:val="20"/>
                <w:lang w:val="fr-CA"/>
              </w:rPr>
              <w:t>Pentelechuck</w:t>
            </w:r>
            <w:proofErr w:type="spellEnd"/>
            <w:r w:rsidRPr="0088082D">
              <w:rPr>
                <w:sz w:val="20"/>
                <w:lang w:val="fr-CA"/>
              </w:rPr>
              <w:t>)</w:t>
            </w:r>
          </w:p>
          <w:p w:rsidR="0088648B" w:rsidRPr="0088082D" w:rsidRDefault="0088082D" w:rsidP="006C75A6">
            <w:pPr>
              <w:jc w:val="both"/>
              <w:rPr>
                <w:sz w:val="20"/>
                <w:lang w:val="fr-CA"/>
              </w:rPr>
            </w:pPr>
            <w:hyperlink r:id="rId16" w:history="1">
              <w:r w:rsidR="0088648B" w:rsidRPr="0088082D">
                <w:rPr>
                  <w:rStyle w:val="Hyperlink"/>
                  <w:sz w:val="20"/>
                  <w:lang w:val="fr-CA"/>
                </w:rPr>
                <w:t>2019 ABCA 212</w:t>
              </w:r>
            </w:hyperlink>
          </w:p>
          <w:p w:rsidR="0088648B" w:rsidRPr="0088082D" w:rsidRDefault="0088648B" w:rsidP="006C75A6">
            <w:pPr>
              <w:jc w:val="both"/>
              <w:rPr>
                <w:sz w:val="20"/>
                <w:lang w:val="fr-CA"/>
              </w:rPr>
            </w:pPr>
            <w:r w:rsidRPr="0088082D">
              <w:rPr>
                <w:sz w:val="20"/>
                <w:lang w:val="fr-CA"/>
              </w:rPr>
              <w:t>1803</w:t>
            </w:r>
            <w:r w:rsidRPr="0088082D">
              <w:rPr>
                <w:sz w:val="20"/>
                <w:lang w:val="fr-CA"/>
              </w:rPr>
              <w:noBreakHyphen/>
              <w:t>0092</w:t>
            </w:r>
            <w:r w:rsidRPr="0088082D">
              <w:rPr>
                <w:sz w:val="20"/>
                <w:lang w:val="fr-CA"/>
              </w:rPr>
              <w:noBreakHyphen/>
              <w:t>A</w:t>
            </w: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Arrêt annulant l’arrêt des procédures et ordonnant que le demandeur subisse son procès</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lastRenderedPageBreak/>
              <w:t>27 août 2019</w:t>
            </w:r>
          </w:p>
          <w:p w:rsidR="0088648B" w:rsidRPr="0088082D" w:rsidRDefault="0088648B" w:rsidP="006C75A6">
            <w:pPr>
              <w:jc w:val="both"/>
              <w:rPr>
                <w:sz w:val="20"/>
                <w:lang w:val="fr-CA"/>
              </w:rPr>
            </w:pPr>
            <w:r w:rsidRPr="0088082D">
              <w:rPr>
                <w:sz w:val="20"/>
                <w:lang w:val="fr-CA"/>
              </w:rPr>
              <w:t>Cour suprême du Canada</w:t>
            </w: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Dépôt de la demande d’autorisation d’appel</w:t>
            </w:r>
          </w:p>
          <w:p w:rsidR="0088648B" w:rsidRPr="0088082D" w:rsidRDefault="0088648B" w:rsidP="006C75A6">
            <w:pPr>
              <w:jc w:val="both"/>
              <w:rPr>
                <w:sz w:val="20"/>
                <w:lang w:val="fr-CA"/>
              </w:rPr>
            </w:pPr>
          </w:p>
        </w:tc>
      </w:tr>
    </w:tbl>
    <w:p w:rsidR="0088648B" w:rsidRPr="0088082D" w:rsidRDefault="0088648B" w:rsidP="006C75A6">
      <w:pPr>
        <w:jc w:val="both"/>
        <w:rPr>
          <w:sz w:val="20"/>
          <w:lang w:val="fr-CA"/>
        </w:rPr>
      </w:pPr>
    </w:p>
    <w:p w:rsidR="00334BEC" w:rsidRPr="0088082D" w:rsidRDefault="0088082D" w:rsidP="006C75A6">
      <w:pPr>
        <w:ind w:left="142" w:hanging="142"/>
        <w:jc w:val="both"/>
        <w:rPr>
          <w:sz w:val="20"/>
          <w:lang w:val="fr-CA"/>
        </w:rPr>
      </w:pPr>
      <w:r w:rsidRPr="0088082D">
        <w:rPr>
          <w:sz w:val="20"/>
        </w:rPr>
        <w:pict>
          <v:rect id="_x0000_i1030" style="width:2in;height:1pt" o:hrpct="0" o:hralign="center" o:hrstd="t" o:hrnoshade="t" o:hr="t" fillcolor="black [3213]" stroked="f"/>
        </w:pict>
      </w:r>
    </w:p>
    <w:p w:rsidR="0088648B" w:rsidRPr="0088082D" w:rsidRDefault="0088648B" w:rsidP="006C75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rPr>
            </w:pPr>
            <w:r w:rsidRPr="0088082D">
              <w:rPr>
                <w:rStyle w:val="SCCFileNumberChar"/>
                <w:sz w:val="20"/>
                <w:szCs w:val="20"/>
              </w:rPr>
              <w:t>38812</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 xml:space="preserve">Her Majesty the Queen in </w:t>
            </w:r>
            <w:r w:rsidR="00650A69" w:rsidRPr="0088082D">
              <w:rPr>
                <w:b/>
                <w:sz w:val="20"/>
                <w:szCs w:val="20"/>
                <w:lang w:val="en-US"/>
              </w:rPr>
              <w:t>R</w:t>
            </w:r>
            <w:r w:rsidRPr="0088082D">
              <w:rPr>
                <w:b/>
                <w:sz w:val="20"/>
                <w:szCs w:val="20"/>
                <w:lang w:val="en-US"/>
              </w:rPr>
              <w:t>ight of Canada v. Thampeernayagam Rajaratnam, Lesly Jana Emmanuel</w:t>
            </w:r>
            <w:r w:rsidR="00896855" w:rsidRPr="0088082D">
              <w:rPr>
                <w:b/>
                <w:sz w:val="20"/>
                <w:szCs w:val="20"/>
                <w:lang w:val="en-US"/>
              </w:rPr>
              <w:t xml:space="preserve"> and</w:t>
            </w:r>
            <w:r w:rsidRPr="0088082D">
              <w:rPr>
                <w:b/>
                <w:sz w:val="20"/>
                <w:szCs w:val="20"/>
                <w:lang w:val="en-US"/>
              </w:rPr>
              <w:t xml:space="preserve"> Nadarajah Mahendran</w:t>
            </w:r>
          </w:p>
          <w:p w:rsidR="0088648B" w:rsidRPr="0088082D" w:rsidRDefault="0088648B" w:rsidP="006C75A6">
            <w:pPr>
              <w:jc w:val="both"/>
              <w:rPr>
                <w:sz w:val="20"/>
              </w:rPr>
            </w:pPr>
            <w:r w:rsidRPr="0088082D">
              <w:rPr>
                <w:sz w:val="20"/>
              </w:rPr>
              <w:t>(B.C.) (Criminal) (By Leave)</w:t>
            </w:r>
          </w:p>
        </w:tc>
      </w:tr>
      <w:tr w:rsidR="0088648B" w:rsidRPr="0088082D" w:rsidTr="00E95A6A">
        <w:tc>
          <w:tcPr>
            <w:tcW w:w="5000" w:type="pct"/>
            <w:gridSpan w:val="4"/>
          </w:tcPr>
          <w:p w:rsidR="0088648B" w:rsidRPr="0088082D" w:rsidRDefault="0088648B" w:rsidP="006C75A6">
            <w:pPr>
              <w:jc w:val="both"/>
              <w:rPr>
                <w:iCs/>
                <w:sz w:val="20"/>
                <w:lang w:val="en"/>
              </w:rPr>
            </w:pPr>
            <w:r w:rsidRPr="0088082D">
              <w:rPr>
                <w:i/>
                <w:sz w:val="20"/>
              </w:rPr>
              <w:t>Charter of Rights</w:t>
            </w:r>
            <w:r w:rsidRPr="0088082D">
              <w:rPr>
                <w:sz w:val="20"/>
              </w:rPr>
              <w:t xml:space="preserve"> — Constitutional law — Right to life, liberty and security of person — Right to a fair hearing — Constitutionality of </w:t>
            </w:r>
            <w:r w:rsidRPr="0088082D">
              <w:rPr>
                <w:iCs/>
                <w:sz w:val="20"/>
                <w:lang w:val="en"/>
              </w:rPr>
              <w:t xml:space="preserve">s. 36 of the </w:t>
            </w:r>
            <w:r w:rsidRPr="0088082D">
              <w:rPr>
                <w:i/>
                <w:iCs/>
                <w:sz w:val="20"/>
                <w:lang w:val="en"/>
              </w:rPr>
              <w:t>Mutual Legal Assistance in Criminal Matters Act</w:t>
            </w:r>
            <w:r w:rsidRPr="0088082D">
              <w:rPr>
                <w:iCs/>
                <w:sz w:val="20"/>
                <w:lang w:val="en"/>
              </w:rPr>
              <w:t>, R.S.C. 1985, c. 30 (4</w:t>
            </w:r>
            <w:r w:rsidRPr="0088082D">
              <w:rPr>
                <w:iCs/>
                <w:sz w:val="20"/>
                <w:vertAlign w:val="superscript"/>
                <w:lang w:val="en"/>
              </w:rPr>
              <w:t>th</w:t>
            </w:r>
            <w:r w:rsidRPr="0088082D">
              <w:rPr>
                <w:iCs/>
                <w:sz w:val="20"/>
                <w:lang w:val="en"/>
              </w:rPr>
              <w:t xml:space="preserve"> Supp.) </w:t>
            </w:r>
            <w:r w:rsidRPr="0088082D">
              <w:rPr>
                <w:sz w:val="20"/>
              </w:rPr>
              <w:t xml:space="preserve">— </w:t>
            </w:r>
            <w:r w:rsidRPr="0088082D">
              <w:rPr>
                <w:iCs/>
                <w:sz w:val="20"/>
              </w:rPr>
              <w:t>W</w:t>
            </w:r>
            <w:r w:rsidRPr="0088082D">
              <w:rPr>
                <w:iCs/>
                <w:sz w:val="20"/>
                <w:lang w:val="en"/>
              </w:rPr>
              <w:t xml:space="preserve">hether s. 36 of the </w:t>
            </w:r>
            <w:r w:rsidRPr="0088082D">
              <w:rPr>
                <w:i/>
                <w:iCs/>
                <w:sz w:val="20"/>
                <w:lang w:val="en"/>
              </w:rPr>
              <w:t>Mutual Legal Assistance in Criminal Matters Act</w:t>
            </w:r>
            <w:r w:rsidRPr="0088082D">
              <w:rPr>
                <w:iCs/>
                <w:sz w:val="20"/>
                <w:lang w:val="en"/>
              </w:rPr>
              <w:t xml:space="preserve"> violates ss. 7 or 11(d) of the </w:t>
            </w:r>
            <w:r w:rsidRPr="0088082D">
              <w:rPr>
                <w:i/>
                <w:iCs/>
                <w:sz w:val="20"/>
                <w:lang w:val="en"/>
              </w:rPr>
              <w:t>Charter</w:t>
            </w:r>
            <w:r w:rsidRPr="0088082D">
              <w:rPr>
                <w:iCs/>
                <w:sz w:val="20"/>
                <w:lang w:val="en"/>
              </w:rPr>
              <w:t xml:space="preserve"> </w:t>
            </w:r>
            <w:r w:rsidRPr="0088082D">
              <w:rPr>
                <w:sz w:val="20"/>
              </w:rPr>
              <w:t xml:space="preserve">— </w:t>
            </w:r>
            <w:r w:rsidRPr="0088082D">
              <w:rPr>
                <w:iCs/>
                <w:sz w:val="20"/>
                <w:lang w:val="en"/>
              </w:rPr>
              <w:t xml:space="preserve">ss. 7, 11(d) of the </w:t>
            </w:r>
            <w:r w:rsidRPr="0088082D">
              <w:rPr>
                <w:i/>
                <w:iCs/>
                <w:sz w:val="20"/>
                <w:lang w:val="en"/>
              </w:rPr>
              <w:t>Canadian Charter of Rights and Freedoms</w:t>
            </w:r>
            <w:r w:rsidRPr="0088082D">
              <w:rPr>
                <w:iCs/>
                <w:sz w:val="20"/>
                <w:lang w:val="en"/>
              </w:rPr>
              <w:t>.</w:t>
            </w:r>
          </w:p>
          <w:p w:rsidR="0088648B" w:rsidRPr="0088082D" w:rsidRDefault="0088648B" w:rsidP="006C75A6">
            <w:pPr>
              <w:jc w:val="both"/>
              <w:rPr>
                <w:sz w:val="20"/>
              </w:rPr>
            </w:pPr>
          </w:p>
        </w:tc>
      </w:tr>
      <w:tr w:rsidR="0088648B" w:rsidRPr="0088082D" w:rsidTr="00E95A6A">
        <w:tc>
          <w:tcPr>
            <w:tcW w:w="5000" w:type="pct"/>
            <w:gridSpan w:val="4"/>
          </w:tcPr>
          <w:p w:rsidR="0088648B" w:rsidRPr="0088082D" w:rsidRDefault="0088648B" w:rsidP="006C75A6">
            <w:pPr>
              <w:jc w:val="both"/>
              <w:rPr>
                <w:sz w:val="20"/>
              </w:rPr>
            </w:pPr>
            <w:r w:rsidRPr="0088082D">
              <w:rPr>
                <w:iCs/>
                <w:sz w:val="20"/>
                <w:lang w:val="en"/>
              </w:rPr>
              <w:t xml:space="preserve">In the summer of 2010, the MV Sun Sea sailed across the Pacific Ocean and arrived in Canadian territorial waters. It carried 492 Tamil migrants fleeing the aftermath of war, all of whom claimed refugee status in Canada upon arrival. </w:t>
            </w:r>
            <w:r w:rsidRPr="0088082D">
              <w:rPr>
                <w:sz w:val="20"/>
                <w:lang w:val="en"/>
              </w:rPr>
              <w:t xml:space="preserve">The three respondents were charged along with a fourth accused with organizing, inducing, aiding or abetting people to come into Canada, colloquially known as “human smuggling”, in contravention of </w:t>
            </w:r>
            <w:r w:rsidRPr="0088082D">
              <w:rPr>
                <w:iCs/>
                <w:sz w:val="20"/>
                <w:lang w:val="en"/>
              </w:rPr>
              <w:t xml:space="preserve">s. 117 of the </w:t>
            </w:r>
            <w:r w:rsidRPr="0088082D">
              <w:rPr>
                <w:i/>
                <w:iCs/>
                <w:sz w:val="20"/>
                <w:lang w:val="en"/>
              </w:rPr>
              <w:t>Immigration and Refugee Protection Act</w:t>
            </w:r>
            <w:r w:rsidRPr="0088082D">
              <w:rPr>
                <w:iCs/>
                <w:sz w:val="20"/>
                <w:lang w:val="en"/>
              </w:rPr>
              <w:t xml:space="preserve">, S.C. 2001, c. 27. </w:t>
            </w:r>
            <w:r w:rsidRPr="0088082D">
              <w:rPr>
                <w:sz w:val="20"/>
                <w:lang w:val="en"/>
              </w:rPr>
              <w:t xml:space="preserve">Rather than call as witnesses the various police officers from Thailand who arrested the respondents and who might be able to attest to these matters from their own knowledge, the Crown proposed to introduce this evidence pursuant to the provisions of </w:t>
            </w:r>
            <w:r w:rsidRPr="0088082D">
              <w:rPr>
                <w:iCs/>
                <w:sz w:val="20"/>
                <w:lang w:val="en"/>
              </w:rPr>
              <w:t xml:space="preserve">s. 36 of the </w:t>
            </w:r>
            <w:r w:rsidRPr="0088082D">
              <w:rPr>
                <w:i/>
                <w:iCs/>
                <w:sz w:val="20"/>
                <w:lang w:val="en"/>
              </w:rPr>
              <w:t>Mutual Legal Assistance in Criminal Matters Act</w:t>
            </w:r>
            <w:r w:rsidRPr="0088082D">
              <w:rPr>
                <w:iCs/>
                <w:sz w:val="20"/>
                <w:lang w:val="en"/>
              </w:rPr>
              <w:t>, R.S.C. 1985, c. 30 (4</w:t>
            </w:r>
            <w:r w:rsidRPr="0088082D">
              <w:rPr>
                <w:iCs/>
                <w:sz w:val="20"/>
                <w:vertAlign w:val="superscript"/>
                <w:lang w:val="en"/>
              </w:rPr>
              <w:t>th</w:t>
            </w:r>
            <w:r w:rsidRPr="0088082D">
              <w:rPr>
                <w:iCs/>
                <w:sz w:val="20"/>
                <w:lang w:val="en"/>
              </w:rPr>
              <w:t xml:space="preserve"> Supp.) (</w:t>
            </w:r>
            <w:r w:rsidRPr="0088082D">
              <w:rPr>
                <w:i/>
                <w:iCs/>
                <w:sz w:val="20"/>
                <w:lang w:val="en"/>
              </w:rPr>
              <w:t>MLACMA</w:t>
            </w:r>
            <w:r w:rsidRPr="0088082D">
              <w:rPr>
                <w:iCs/>
                <w:sz w:val="20"/>
                <w:lang w:val="en"/>
              </w:rPr>
              <w:t xml:space="preserve">). </w:t>
            </w:r>
            <w:r w:rsidRPr="0088082D">
              <w:rPr>
                <w:sz w:val="20"/>
              </w:rPr>
              <w:t xml:space="preserve">The respondents filed an application challenging the constitutional validity of s. 36 of the </w:t>
            </w:r>
            <w:r w:rsidRPr="0088082D">
              <w:rPr>
                <w:i/>
                <w:sz w:val="20"/>
              </w:rPr>
              <w:t>MLACMA</w:t>
            </w:r>
            <w:r w:rsidRPr="0088082D">
              <w:rPr>
                <w:sz w:val="20"/>
              </w:rPr>
              <w:t xml:space="preserve"> on the basis that it infringed ss. 7 and 11(d) of the </w:t>
            </w:r>
            <w:r w:rsidRPr="0088082D">
              <w:rPr>
                <w:i/>
                <w:sz w:val="20"/>
              </w:rPr>
              <w:t>Charter</w:t>
            </w:r>
            <w:r w:rsidRPr="0088082D">
              <w:rPr>
                <w:sz w:val="20"/>
              </w:rPr>
              <w:t xml:space="preserve">, and sought a declaration of invalidity pursuant to s. 52(1) of the </w:t>
            </w:r>
            <w:r w:rsidRPr="0088082D">
              <w:rPr>
                <w:i/>
                <w:sz w:val="20"/>
              </w:rPr>
              <w:t>Constitution Act, 1982</w:t>
            </w:r>
            <w:r w:rsidRPr="0088082D">
              <w:rPr>
                <w:sz w:val="20"/>
              </w:rPr>
              <w:t xml:space="preserve">. </w:t>
            </w:r>
            <w:r w:rsidRPr="0088082D">
              <w:rPr>
                <w:sz w:val="20"/>
                <w:lang w:val="en"/>
              </w:rPr>
              <w:t xml:space="preserve">Ehrcke J. granted the respondents’ application, and found s. 36 of the </w:t>
            </w:r>
            <w:r w:rsidRPr="0088082D">
              <w:rPr>
                <w:i/>
                <w:sz w:val="20"/>
                <w:lang w:val="en"/>
              </w:rPr>
              <w:t>MLACMA</w:t>
            </w:r>
            <w:r w:rsidRPr="0088082D">
              <w:rPr>
                <w:sz w:val="20"/>
                <w:lang w:val="en"/>
              </w:rPr>
              <w:t xml:space="preserve"> infringes an accused’s right to a fair trial and to make full answer and defence and therefore, violates ss. 7 and 11(d) of the </w:t>
            </w:r>
            <w:r w:rsidRPr="0088082D">
              <w:rPr>
                <w:i/>
                <w:sz w:val="20"/>
                <w:lang w:val="en"/>
              </w:rPr>
              <w:t>Charter</w:t>
            </w:r>
            <w:r w:rsidRPr="0088082D">
              <w:rPr>
                <w:sz w:val="20"/>
                <w:lang w:val="en"/>
              </w:rPr>
              <w:t xml:space="preserve">. Ehrcke J. held that s. 36 of the </w:t>
            </w:r>
            <w:r w:rsidRPr="0088082D">
              <w:rPr>
                <w:i/>
                <w:sz w:val="20"/>
                <w:lang w:val="en"/>
              </w:rPr>
              <w:t>MLACMA</w:t>
            </w:r>
            <w:r w:rsidRPr="0088082D">
              <w:rPr>
                <w:sz w:val="20"/>
                <w:lang w:val="en"/>
              </w:rPr>
              <w:t xml:space="preserve"> is unconstitutional and declared ss. 36(1) and (2) to be of no force and effect. </w:t>
            </w:r>
            <w:r w:rsidRPr="0088082D">
              <w:rPr>
                <w:iCs/>
                <w:sz w:val="20"/>
                <w:lang w:val="en"/>
              </w:rPr>
              <w:t xml:space="preserve">The respondents were acquitted of human smuggling charges laid under s. 117 of the </w:t>
            </w:r>
            <w:r w:rsidRPr="0088082D">
              <w:rPr>
                <w:i/>
                <w:iCs/>
                <w:sz w:val="20"/>
                <w:lang w:val="en"/>
              </w:rPr>
              <w:t>Immigration and Refugee Protection Act</w:t>
            </w:r>
            <w:r w:rsidRPr="0088082D">
              <w:rPr>
                <w:iCs/>
                <w:sz w:val="20"/>
                <w:lang w:val="en"/>
              </w:rPr>
              <w:t>.</w:t>
            </w:r>
            <w:r w:rsidRPr="0088082D">
              <w:rPr>
                <w:sz w:val="20"/>
                <w:lang w:val="en"/>
              </w:rPr>
              <w:t xml:space="preserve"> </w:t>
            </w:r>
            <w:r w:rsidRPr="0088082D">
              <w:rPr>
                <w:sz w:val="20"/>
              </w:rPr>
              <w:t>The Court of Appeal upheld the verdicts of acquittal and confirmed the constitutional invalidity of s. 36 of the</w:t>
            </w:r>
            <w:r w:rsidRPr="0088082D">
              <w:rPr>
                <w:i/>
                <w:iCs/>
                <w:sz w:val="20"/>
                <w:lang w:val="en"/>
              </w:rPr>
              <w:t xml:space="preserve"> MLACMA</w:t>
            </w:r>
            <w:r w:rsidRPr="0088082D">
              <w:rPr>
                <w:sz w:val="20"/>
              </w:rPr>
              <w:t xml:space="preserve">. </w:t>
            </w:r>
            <w:r w:rsidRPr="0088082D">
              <w:rPr>
                <w:iCs/>
                <w:sz w:val="20"/>
                <w:lang w:val="en"/>
              </w:rPr>
              <w:t xml:space="preserve">The Court of Appeal held that s. 36 of the </w:t>
            </w:r>
            <w:r w:rsidRPr="0088082D">
              <w:rPr>
                <w:i/>
                <w:iCs/>
                <w:sz w:val="20"/>
                <w:lang w:val="en"/>
              </w:rPr>
              <w:t>MLACMA</w:t>
            </w:r>
            <w:r w:rsidRPr="0088082D">
              <w:rPr>
                <w:iCs/>
                <w:sz w:val="20"/>
                <w:lang w:val="en"/>
              </w:rPr>
              <w:t xml:space="preserve"> was declared to be of no force and effect with respect to Crown evidence tendered in a criminal trial.</w:t>
            </w:r>
          </w:p>
        </w:tc>
      </w:tr>
      <w:tr w:rsidR="0088648B" w:rsidRPr="0088082D" w:rsidTr="00E95A6A">
        <w:tc>
          <w:tcPr>
            <w:tcW w:w="5000" w:type="pct"/>
            <w:gridSpan w:val="4"/>
          </w:tcPr>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December 7, 2016</w:t>
            </w:r>
          </w:p>
          <w:p w:rsidR="0088648B" w:rsidRPr="0088082D" w:rsidRDefault="0088648B" w:rsidP="006C75A6">
            <w:pPr>
              <w:jc w:val="both"/>
              <w:rPr>
                <w:sz w:val="20"/>
              </w:rPr>
            </w:pPr>
            <w:r w:rsidRPr="0088082D">
              <w:rPr>
                <w:sz w:val="20"/>
              </w:rPr>
              <w:t>Supreme Court of British Columbia</w:t>
            </w:r>
          </w:p>
          <w:p w:rsidR="0088648B" w:rsidRPr="0088082D" w:rsidRDefault="0088648B" w:rsidP="006C75A6">
            <w:pPr>
              <w:jc w:val="both"/>
              <w:rPr>
                <w:sz w:val="20"/>
              </w:rPr>
            </w:pPr>
            <w:r w:rsidRPr="0088082D">
              <w:rPr>
                <w:sz w:val="20"/>
              </w:rPr>
              <w:t>(Ehrcke J.)</w:t>
            </w:r>
          </w:p>
          <w:p w:rsidR="0088648B" w:rsidRPr="0088082D" w:rsidRDefault="0088082D" w:rsidP="006C75A6">
            <w:pPr>
              <w:jc w:val="both"/>
              <w:rPr>
                <w:sz w:val="20"/>
              </w:rPr>
            </w:pPr>
            <w:hyperlink r:id="rId17" w:history="1">
              <w:r w:rsidR="0088648B" w:rsidRPr="0088082D">
                <w:rPr>
                  <w:rStyle w:val="Hyperlink"/>
                  <w:sz w:val="20"/>
                </w:rPr>
                <w:t>2016 BCSC 2400</w:t>
              </w:r>
            </w:hyperlink>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 xml:space="preserve">Ruling: ss. 36(1) and 36(2) of the </w:t>
            </w:r>
            <w:r w:rsidRPr="0088082D">
              <w:rPr>
                <w:i/>
                <w:sz w:val="20"/>
              </w:rPr>
              <w:t>MLACMA</w:t>
            </w:r>
            <w:r w:rsidRPr="0088082D">
              <w:rPr>
                <w:sz w:val="20"/>
              </w:rPr>
              <w:t xml:space="preserve"> constitutionally invalid </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June 18, 2019</w:t>
            </w:r>
          </w:p>
          <w:p w:rsidR="0088648B" w:rsidRPr="0088082D" w:rsidRDefault="0088648B" w:rsidP="006C75A6">
            <w:pPr>
              <w:jc w:val="both"/>
              <w:rPr>
                <w:sz w:val="20"/>
              </w:rPr>
            </w:pPr>
            <w:r w:rsidRPr="0088082D">
              <w:rPr>
                <w:sz w:val="20"/>
              </w:rPr>
              <w:t>Court of Appeal for British Columbia</w:t>
            </w:r>
          </w:p>
          <w:p w:rsidR="0088648B" w:rsidRPr="0088082D" w:rsidRDefault="0088648B" w:rsidP="006C75A6">
            <w:pPr>
              <w:jc w:val="both"/>
              <w:rPr>
                <w:sz w:val="20"/>
              </w:rPr>
            </w:pPr>
            <w:r w:rsidRPr="0088082D">
              <w:rPr>
                <w:sz w:val="20"/>
              </w:rPr>
              <w:t>(Vancouver)</w:t>
            </w:r>
          </w:p>
          <w:p w:rsidR="0088648B" w:rsidRPr="0088082D" w:rsidRDefault="0088648B" w:rsidP="006C75A6">
            <w:pPr>
              <w:jc w:val="both"/>
              <w:rPr>
                <w:sz w:val="20"/>
              </w:rPr>
            </w:pPr>
            <w:r w:rsidRPr="0088082D">
              <w:rPr>
                <w:sz w:val="20"/>
              </w:rPr>
              <w:t>(Frankel, Bennett, Garson JJ.A.)</w:t>
            </w:r>
          </w:p>
          <w:p w:rsidR="0088648B" w:rsidRPr="0088082D" w:rsidRDefault="0088082D" w:rsidP="006C75A6">
            <w:pPr>
              <w:jc w:val="both"/>
              <w:rPr>
                <w:sz w:val="20"/>
              </w:rPr>
            </w:pPr>
            <w:hyperlink r:id="rId18" w:history="1">
              <w:r w:rsidR="0088648B" w:rsidRPr="0088082D">
                <w:rPr>
                  <w:rStyle w:val="Hyperlink"/>
                  <w:sz w:val="20"/>
                </w:rPr>
                <w:t>2019 BCCA 209</w:t>
              </w:r>
            </w:hyperlink>
          </w:p>
          <w:p w:rsidR="0088648B" w:rsidRPr="0088082D" w:rsidRDefault="0088648B" w:rsidP="006C75A6">
            <w:pPr>
              <w:jc w:val="both"/>
              <w:rPr>
                <w:sz w:val="20"/>
              </w:rPr>
            </w:pPr>
            <w:r w:rsidRPr="0088082D">
              <w:rPr>
                <w:sz w:val="20"/>
              </w:rPr>
              <w:t>CA44256, CA44257,CA44258</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Appeals dismissed: verdicts of acquittal upheld; constitutional invalidity of s. 36 of the</w:t>
            </w:r>
            <w:r w:rsidRPr="0088082D">
              <w:rPr>
                <w:i/>
                <w:iCs/>
                <w:sz w:val="20"/>
                <w:lang w:val="en"/>
              </w:rPr>
              <w:t xml:space="preserve"> MLACMA</w:t>
            </w:r>
            <w:r w:rsidRPr="0088082D">
              <w:rPr>
                <w:iCs/>
                <w:sz w:val="20"/>
                <w:lang w:val="en"/>
              </w:rPr>
              <w:t xml:space="preserve"> confirmed</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October 22, 2019</w:t>
            </w:r>
          </w:p>
          <w:p w:rsidR="0088648B" w:rsidRPr="0088082D" w:rsidRDefault="0088648B" w:rsidP="006C75A6">
            <w:pPr>
              <w:jc w:val="both"/>
              <w:rPr>
                <w:sz w:val="20"/>
              </w:rPr>
            </w:pPr>
            <w:r w:rsidRPr="0088082D">
              <w:rPr>
                <w:sz w:val="20"/>
              </w:rPr>
              <w:t>Supreme Court of Canada</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50A69">
            <w:pPr>
              <w:jc w:val="both"/>
              <w:rPr>
                <w:sz w:val="20"/>
              </w:rPr>
            </w:pPr>
            <w:r w:rsidRPr="0088082D">
              <w:rPr>
                <w:sz w:val="20"/>
              </w:rPr>
              <w:t>Motion for an extension of time to serve and file the application for leave to appeal and motion to join the applications and application for leave to appeal filed</w:t>
            </w:r>
          </w:p>
        </w:tc>
      </w:tr>
    </w:tbl>
    <w:p w:rsidR="0088648B" w:rsidRPr="0088082D" w:rsidRDefault="0088648B" w:rsidP="006C75A6">
      <w:pPr>
        <w:jc w:val="both"/>
        <w:rPr>
          <w:sz w:val="20"/>
        </w:rPr>
      </w:pPr>
    </w:p>
    <w:p w:rsidR="0088648B" w:rsidRPr="0088082D" w:rsidRDefault="0088082D" w:rsidP="006C75A6">
      <w:pPr>
        <w:jc w:val="both"/>
        <w:rPr>
          <w:sz w:val="20"/>
        </w:rPr>
      </w:pPr>
      <w:r w:rsidRPr="0088082D">
        <w:rPr>
          <w:sz w:val="20"/>
        </w:rPr>
        <w:pict>
          <v:rect id="_x0000_i1031" style="width:2in;height:1pt" o:hrpct="0" o:hralign="center" o:hrstd="t" o:hrnoshade="t" o:hr="t" fillcolor="black [3213]" stroked="f"/>
        </w:pict>
      </w:r>
    </w:p>
    <w:p w:rsidR="0088648B" w:rsidRPr="0088082D" w:rsidRDefault="0088648B" w:rsidP="006C75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lang w:val="fr-CA"/>
              </w:rPr>
            </w:pPr>
            <w:r w:rsidRPr="0088082D">
              <w:rPr>
                <w:rStyle w:val="SCCFileNumberChar"/>
                <w:sz w:val="20"/>
                <w:szCs w:val="20"/>
                <w:lang w:val="fr-CA"/>
              </w:rPr>
              <w:lastRenderedPageBreak/>
              <w:t>38812</w:t>
            </w:r>
          </w:p>
        </w:tc>
        <w:tc>
          <w:tcPr>
            <w:tcW w:w="4457" w:type="pct"/>
            <w:gridSpan w:val="3"/>
          </w:tcPr>
          <w:p w:rsidR="0088648B" w:rsidRPr="0088082D" w:rsidRDefault="0088648B" w:rsidP="006C75A6">
            <w:pPr>
              <w:pStyle w:val="SCCLsocParty"/>
              <w:jc w:val="both"/>
              <w:rPr>
                <w:b/>
                <w:sz w:val="20"/>
                <w:szCs w:val="20"/>
              </w:rPr>
            </w:pPr>
            <w:r w:rsidRPr="0088082D">
              <w:rPr>
                <w:b/>
                <w:sz w:val="20"/>
                <w:szCs w:val="20"/>
              </w:rPr>
              <w:t>Sa Majesté la Reine du chef du Canada c. Thampeernayagam Rajaratnam, Lesly Jana Emmanuel</w:t>
            </w:r>
            <w:r w:rsidR="00896855" w:rsidRPr="0088082D">
              <w:rPr>
                <w:b/>
                <w:sz w:val="20"/>
                <w:szCs w:val="20"/>
              </w:rPr>
              <w:t xml:space="preserve"> et</w:t>
            </w:r>
            <w:r w:rsidRPr="0088082D">
              <w:rPr>
                <w:b/>
                <w:sz w:val="20"/>
                <w:szCs w:val="20"/>
              </w:rPr>
              <w:t xml:space="preserve"> Nadarajah Mahendran</w:t>
            </w:r>
          </w:p>
          <w:p w:rsidR="0088648B" w:rsidRPr="0088082D" w:rsidRDefault="0088648B" w:rsidP="006C75A6">
            <w:pPr>
              <w:jc w:val="both"/>
              <w:rPr>
                <w:sz w:val="20"/>
                <w:lang w:val="fr-CA"/>
              </w:rPr>
            </w:pPr>
            <w:r w:rsidRPr="0088082D">
              <w:rPr>
                <w:sz w:val="20"/>
                <w:lang w:val="fr-CA"/>
              </w:rPr>
              <w:t>(C.-B.) (Criminelle) (Autorisation)</w:t>
            </w:r>
          </w:p>
        </w:tc>
      </w:tr>
      <w:tr w:rsidR="0088648B" w:rsidRPr="0088082D" w:rsidTr="00E95A6A">
        <w:tc>
          <w:tcPr>
            <w:tcW w:w="5000" w:type="pct"/>
            <w:gridSpan w:val="4"/>
          </w:tcPr>
          <w:p w:rsidR="0088648B" w:rsidRPr="0088082D" w:rsidRDefault="0088648B" w:rsidP="006C75A6">
            <w:pPr>
              <w:jc w:val="both"/>
              <w:rPr>
                <w:iCs/>
                <w:sz w:val="20"/>
                <w:lang w:val="fr-CA"/>
              </w:rPr>
            </w:pPr>
            <w:r w:rsidRPr="0088082D">
              <w:rPr>
                <w:i/>
                <w:sz w:val="20"/>
                <w:lang w:val="fr-CA"/>
              </w:rPr>
              <w:t>Charte des droits</w:t>
            </w:r>
            <w:r w:rsidRPr="0088082D">
              <w:rPr>
                <w:sz w:val="20"/>
                <w:lang w:val="fr-CA"/>
              </w:rPr>
              <w:t xml:space="preserve"> — Droit constitutionnel — Droit à la vie, à la liberté et à la sécurité de la personne —Procès équitable — Constitutionnalité de l’art</w:t>
            </w:r>
            <w:r w:rsidRPr="0088082D">
              <w:rPr>
                <w:iCs/>
                <w:sz w:val="20"/>
                <w:lang w:val="fr-CA"/>
              </w:rPr>
              <w:t xml:space="preserve">. 36 de la </w:t>
            </w:r>
            <w:r w:rsidRPr="0088082D">
              <w:rPr>
                <w:i/>
                <w:iCs/>
                <w:sz w:val="20"/>
                <w:lang w:val="fr-CA"/>
              </w:rPr>
              <w:t>Loi sur l’entraide juridique en matière criminelle</w:t>
            </w:r>
            <w:r w:rsidRPr="0088082D">
              <w:rPr>
                <w:iCs/>
                <w:sz w:val="20"/>
                <w:lang w:val="fr-CA"/>
              </w:rPr>
              <w:t>, L.R.C. 1985, ch. 30 (4</w:t>
            </w:r>
            <w:r w:rsidRPr="0088082D">
              <w:rPr>
                <w:iCs/>
                <w:sz w:val="20"/>
                <w:vertAlign w:val="superscript"/>
                <w:lang w:val="fr-CA"/>
              </w:rPr>
              <w:t>e</w:t>
            </w:r>
            <w:r w:rsidRPr="0088082D">
              <w:rPr>
                <w:iCs/>
                <w:sz w:val="20"/>
                <w:lang w:val="fr-CA"/>
              </w:rPr>
              <w:t xml:space="preserve"> suppl.) </w:t>
            </w:r>
            <w:r w:rsidRPr="0088082D">
              <w:rPr>
                <w:sz w:val="20"/>
                <w:lang w:val="fr-CA"/>
              </w:rPr>
              <w:t xml:space="preserve">— </w:t>
            </w:r>
            <w:r w:rsidRPr="0088082D">
              <w:rPr>
                <w:iCs/>
                <w:sz w:val="20"/>
                <w:lang w:val="fr-CA"/>
              </w:rPr>
              <w:t xml:space="preserve">L’art. 36 de la </w:t>
            </w:r>
            <w:r w:rsidRPr="0088082D">
              <w:rPr>
                <w:i/>
                <w:iCs/>
                <w:sz w:val="20"/>
                <w:lang w:val="fr-CA"/>
              </w:rPr>
              <w:t>Loi sur l’entraide juridique en matière criminelle</w:t>
            </w:r>
            <w:r w:rsidRPr="0088082D">
              <w:rPr>
                <w:iCs/>
                <w:sz w:val="20"/>
                <w:lang w:val="fr-CA"/>
              </w:rPr>
              <w:t xml:space="preserve"> viole</w:t>
            </w:r>
            <w:r w:rsidRPr="0088082D">
              <w:rPr>
                <w:iCs/>
                <w:sz w:val="20"/>
                <w:lang w:val="fr-CA"/>
              </w:rPr>
              <w:noBreakHyphen/>
              <w:t>t</w:t>
            </w:r>
            <w:r w:rsidRPr="0088082D">
              <w:rPr>
                <w:iCs/>
                <w:sz w:val="20"/>
                <w:lang w:val="fr-CA"/>
              </w:rPr>
              <w:noBreakHyphen/>
              <w:t xml:space="preserve">il </w:t>
            </w:r>
            <w:proofErr w:type="gramStart"/>
            <w:r w:rsidRPr="0088082D">
              <w:rPr>
                <w:iCs/>
                <w:sz w:val="20"/>
                <w:lang w:val="fr-CA"/>
              </w:rPr>
              <w:t>les art</w:t>
            </w:r>
            <w:proofErr w:type="gramEnd"/>
            <w:r w:rsidRPr="0088082D">
              <w:rPr>
                <w:iCs/>
                <w:sz w:val="20"/>
                <w:lang w:val="fr-CA"/>
              </w:rPr>
              <w:t xml:space="preserve">. 7 ou 11d) de la </w:t>
            </w:r>
            <w:r w:rsidRPr="0088082D">
              <w:rPr>
                <w:i/>
                <w:iCs/>
                <w:sz w:val="20"/>
                <w:lang w:val="fr-CA"/>
              </w:rPr>
              <w:t>Charte</w:t>
            </w:r>
            <w:r w:rsidRPr="0088082D">
              <w:rPr>
                <w:iCs/>
                <w:sz w:val="20"/>
                <w:lang w:val="fr-CA"/>
              </w:rPr>
              <w:t xml:space="preserve">? </w:t>
            </w:r>
            <w:r w:rsidRPr="0088082D">
              <w:rPr>
                <w:sz w:val="20"/>
                <w:lang w:val="fr-CA"/>
              </w:rPr>
              <w:t xml:space="preserve">— </w:t>
            </w:r>
            <w:r w:rsidRPr="0088082D">
              <w:rPr>
                <w:iCs/>
                <w:sz w:val="20"/>
                <w:lang w:val="fr-CA"/>
              </w:rPr>
              <w:t xml:space="preserve">Art. 7, 11d) de la </w:t>
            </w:r>
            <w:r w:rsidRPr="0088082D">
              <w:rPr>
                <w:i/>
                <w:iCs/>
                <w:sz w:val="20"/>
                <w:lang w:val="fr-CA"/>
              </w:rPr>
              <w:t>Charte canadienne des droits et libertés</w:t>
            </w:r>
            <w:r w:rsidRPr="0088082D">
              <w:rPr>
                <w:iCs/>
                <w:sz w:val="20"/>
                <w:lang w:val="fr-CA"/>
              </w:rPr>
              <w:t>.</w:t>
            </w:r>
          </w:p>
          <w:p w:rsidR="0088648B" w:rsidRPr="0088082D" w:rsidRDefault="0088648B" w:rsidP="006C75A6">
            <w:pPr>
              <w:jc w:val="both"/>
              <w:rPr>
                <w:sz w:val="20"/>
                <w:lang w:val="fr-CA"/>
              </w:rPr>
            </w:pPr>
          </w:p>
        </w:tc>
      </w:tr>
      <w:tr w:rsidR="0088648B" w:rsidRPr="0088082D" w:rsidTr="00E95A6A">
        <w:tc>
          <w:tcPr>
            <w:tcW w:w="5000" w:type="pct"/>
            <w:gridSpan w:val="4"/>
          </w:tcPr>
          <w:p w:rsidR="0088648B" w:rsidRPr="0088082D" w:rsidRDefault="0088648B" w:rsidP="006C75A6">
            <w:pPr>
              <w:jc w:val="both"/>
              <w:rPr>
                <w:sz w:val="20"/>
                <w:lang w:val="fr-CA"/>
              </w:rPr>
            </w:pPr>
            <w:r w:rsidRPr="0088082D">
              <w:rPr>
                <w:iCs/>
                <w:sz w:val="20"/>
                <w:lang w:val="fr-CA"/>
              </w:rPr>
              <w:t xml:space="preserve">L’été 2010, le navire à moteur </w:t>
            </w:r>
            <w:r w:rsidRPr="0088082D">
              <w:rPr>
                <w:i/>
                <w:iCs/>
                <w:sz w:val="20"/>
                <w:lang w:val="fr-CA"/>
              </w:rPr>
              <w:t xml:space="preserve">Sun </w:t>
            </w:r>
            <w:proofErr w:type="spellStart"/>
            <w:r w:rsidRPr="0088082D">
              <w:rPr>
                <w:i/>
                <w:iCs/>
                <w:sz w:val="20"/>
                <w:lang w:val="fr-CA"/>
              </w:rPr>
              <w:t>Sea</w:t>
            </w:r>
            <w:proofErr w:type="spellEnd"/>
            <w:r w:rsidRPr="0088082D">
              <w:rPr>
                <w:iCs/>
                <w:sz w:val="20"/>
                <w:lang w:val="fr-CA"/>
              </w:rPr>
              <w:t xml:space="preserve"> a traversé l’océan Pacifique et est arrivé dans les eaux territoriales canadiennes. Il transportait 492 migrants tamouls qui fuyaient l’après</w:t>
            </w:r>
            <w:r w:rsidRPr="0088082D">
              <w:rPr>
                <w:iCs/>
                <w:sz w:val="20"/>
                <w:lang w:val="fr-CA"/>
              </w:rPr>
              <w:noBreakHyphen/>
              <w:t xml:space="preserve">guerre et qui ont tous revendiqué le statut de réfugié au Canada à leur arrivée. </w:t>
            </w:r>
            <w:r w:rsidRPr="0088082D">
              <w:rPr>
                <w:sz w:val="20"/>
                <w:lang w:val="fr-CA"/>
              </w:rPr>
              <w:t>Les trois intimés ont été accusés, avec un quatrième inculpé, d’avoir d’organisé l’entrée au Canada d’une ou de plusieurs personnes ou de les avoir incitées, aidées ou encouragées à y entrer, c’est</w:t>
            </w:r>
            <w:r w:rsidRPr="0088082D">
              <w:rPr>
                <w:sz w:val="20"/>
                <w:lang w:val="fr-CA"/>
              </w:rPr>
              <w:noBreakHyphen/>
              <w:t>à</w:t>
            </w:r>
            <w:r w:rsidRPr="0088082D">
              <w:rPr>
                <w:sz w:val="20"/>
                <w:lang w:val="fr-CA"/>
              </w:rPr>
              <w:noBreakHyphen/>
              <w:t>dire de s’être livré à ce qui est communément appelé le « passage de clandestins », en contravention de l’art. </w:t>
            </w:r>
            <w:r w:rsidRPr="0088082D">
              <w:rPr>
                <w:iCs/>
                <w:sz w:val="20"/>
                <w:lang w:val="fr-CA"/>
              </w:rPr>
              <w:t xml:space="preserve">117 de la </w:t>
            </w:r>
            <w:r w:rsidRPr="0088082D">
              <w:rPr>
                <w:i/>
                <w:iCs/>
                <w:sz w:val="20"/>
                <w:lang w:val="fr-CA"/>
              </w:rPr>
              <w:t>Loi sur l’immigration et la protection des réfugiés</w:t>
            </w:r>
            <w:r w:rsidRPr="0088082D">
              <w:rPr>
                <w:iCs/>
                <w:sz w:val="20"/>
                <w:lang w:val="fr-CA"/>
              </w:rPr>
              <w:t xml:space="preserve">, L.C. 2001, ch. 27. </w:t>
            </w:r>
            <w:r w:rsidRPr="0088082D">
              <w:rPr>
                <w:sz w:val="20"/>
                <w:lang w:val="fr-CA"/>
              </w:rPr>
              <w:t>Plutôt que d’assigner comme témoins les policiers de Thaïlande qui avaient arrêté les intimés et qui étaient susceptibles d’attester les faits de l’affaire pour en avoir eu eux</w:t>
            </w:r>
            <w:r w:rsidRPr="0088082D">
              <w:rPr>
                <w:sz w:val="20"/>
                <w:lang w:val="fr-CA"/>
              </w:rPr>
              <w:noBreakHyphen/>
              <w:t>mêmes connaissance, le ministère public s’est proposé d’introduire cette preuve en application des dispositions de l’art</w:t>
            </w:r>
            <w:r w:rsidRPr="0088082D">
              <w:rPr>
                <w:iCs/>
                <w:sz w:val="20"/>
                <w:lang w:val="fr-CA"/>
              </w:rPr>
              <w:t xml:space="preserve">. 36 de la </w:t>
            </w:r>
            <w:r w:rsidRPr="0088082D">
              <w:rPr>
                <w:i/>
                <w:iCs/>
                <w:sz w:val="20"/>
                <w:lang w:val="fr-CA"/>
              </w:rPr>
              <w:t>Loi sur l’entraide juridique en matière criminelle</w:t>
            </w:r>
            <w:r w:rsidRPr="0088082D">
              <w:rPr>
                <w:iCs/>
                <w:sz w:val="20"/>
                <w:lang w:val="fr-CA"/>
              </w:rPr>
              <w:t>, L.R.C. 1985, ch. 30 (4</w:t>
            </w:r>
            <w:r w:rsidRPr="0088082D">
              <w:rPr>
                <w:iCs/>
                <w:sz w:val="20"/>
                <w:vertAlign w:val="superscript"/>
                <w:lang w:val="fr-CA"/>
              </w:rPr>
              <w:t>e</w:t>
            </w:r>
            <w:r w:rsidRPr="0088082D">
              <w:rPr>
                <w:iCs/>
                <w:sz w:val="20"/>
                <w:lang w:val="fr-CA"/>
              </w:rPr>
              <w:t xml:space="preserve"> suppl.) (</w:t>
            </w:r>
            <w:r w:rsidRPr="0088082D">
              <w:rPr>
                <w:i/>
                <w:iCs/>
                <w:sz w:val="20"/>
                <w:lang w:val="fr-CA"/>
              </w:rPr>
              <w:t>LEJMC</w:t>
            </w:r>
            <w:r w:rsidRPr="0088082D">
              <w:rPr>
                <w:iCs/>
                <w:sz w:val="20"/>
                <w:lang w:val="fr-CA"/>
              </w:rPr>
              <w:t xml:space="preserve">). </w:t>
            </w:r>
            <w:r w:rsidRPr="0088082D">
              <w:rPr>
                <w:sz w:val="20"/>
                <w:lang w:val="fr-CA"/>
              </w:rPr>
              <w:t xml:space="preserve">Les intimés ont déposé une requête contestant la validité constitutionnelle de l’art. 36 de la </w:t>
            </w:r>
            <w:r w:rsidRPr="0088082D">
              <w:rPr>
                <w:i/>
                <w:iCs/>
                <w:sz w:val="20"/>
                <w:lang w:val="fr-CA"/>
              </w:rPr>
              <w:t>LEJMC</w:t>
            </w:r>
            <w:r w:rsidRPr="0088082D">
              <w:rPr>
                <w:sz w:val="20"/>
                <w:lang w:val="fr-CA"/>
              </w:rPr>
              <w:t xml:space="preserve">, plaidant qu’il violait </w:t>
            </w:r>
            <w:proofErr w:type="gramStart"/>
            <w:r w:rsidRPr="0088082D">
              <w:rPr>
                <w:sz w:val="20"/>
                <w:lang w:val="fr-CA"/>
              </w:rPr>
              <w:t>les art</w:t>
            </w:r>
            <w:proofErr w:type="gramEnd"/>
            <w:r w:rsidRPr="0088082D">
              <w:rPr>
                <w:sz w:val="20"/>
                <w:lang w:val="fr-CA"/>
              </w:rPr>
              <w:t xml:space="preserve">. 7 et 11d) de la </w:t>
            </w:r>
            <w:r w:rsidRPr="0088082D">
              <w:rPr>
                <w:i/>
                <w:sz w:val="20"/>
                <w:lang w:val="fr-CA"/>
              </w:rPr>
              <w:t>Charte</w:t>
            </w:r>
            <w:r w:rsidRPr="0088082D">
              <w:rPr>
                <w:sz w:val="20"/>
                <w:lang w:val="fr-CA"/>
              </w:rPr>
              <w:t xml:space="preserve">, et ont sollicité une déclaration d’invalidité en vertu du par. 52(1) de la </w:t>
            </w:r>
            <w:r w:rsidRPr="0088082D">
              <w:rPr>
                <w:i/>
                <w:sz w:val="20"/>
                <w:lang w:val="fr-CA"/>
              </w:rPr>
              <w:t>Loi constitutionnelle de 1982</w:t>
            </w:r>
            <w:r w:rsidRPr="0088082D">
              <w:rPr>
                <w:sz w:val="20"/>
                <w:lang w:val="fr-CA"/>
              </w:rPr>
              <w:t xml:space="preserve">. Le juge </w:t>
            </w:r>
            <w:proofErr w:type="spellStart"/>
            <w:r w:rsidRPr="0088082D">
              <w:rPr>
                <w:sz w:val="20"/>
                <w:lang w:val="fr-CA"/>
              </w:rPr>
              <w:t>Ehrcke</w:t>
            </w:r>
            <w:proofErr w:type="spellEnd"/>
            <w:r w:rsidRPr="0088082D">
              <w:rPr>
                <w:sz w:val="20"/>
                <w:lang w:val="fr-CA"/>
              </w:rPr>
              <w:t xml:space="preserve"> a accueilli la requête des intimés et a conclu que l’art. 36 de la </w:t>
            </w:r>
            <w:r w:rsidRPr="0088082D">
              <w:rPr>
                <w:i/>
                <w:iCs/>
                <w:sz w:val="20"/>
                <w:lang w:val="fr-CA"/>
              </w:rPr>
              <w:t>LEJMC</w:t>
            </w:r>
            <w:r w:rsidRPr="0088082D">
              <w:rPr>
                <w:sz w:val="20"/>
                <w:lang w:val="fr-CA"/>
              </w:rPr>
              <w:t xml:space="preserve"> portait atteinte au droit de l’accusé à un procès équitable et à son droit de présenter une défense pleine et entière, violant ainsi </w:t>
            </w:r>
            <w:proofErr w:type="gramStart"/>
            <w:r w:rsidRPr="0088082D">
              <w:rPr>
                <w:sz w:val="20"/>
                <w:lang w:val="fr-CA"/>
              </w:rPr>
              <w:t>les art</w:t>
            </w:r>
            <w:proofErr w:type="gramEnd"/>
            <w:r w:rsidRPr="0088082D">
              <w:rPr>
                <w:sz w:val="20"/>
                <w:lang w:val="fr-CA"/>
              </w:rPr>
              <w:t xml:space="preserve">. 7 et 11d) de la </w:t>
            </w:r>
            <w:r w:rsidRPr="0088082D">
              <w:rPr>
                <w:i/>
                <w:sz w:val="20"/>
                <w:lang w:val="fr-CA"/>
              </w:rPr>
              <w:t>Charte</w:t>
            </w:r>
            <w:r w:rsidRPr="0088082D">
              <w:rPr>
                <w:sz w:val="20"/>
                <w:lang w:val="fr-CA"/>
              </w:rPr>
              <w:t xml:space="preserve">. Le juge </w:t>
            </w:r>
            <w:proofErr w:type="spellStart"/>
            <w:r w:rsidRPr="0088082D">
              <w:rPr>
                <w:sz w:val="20"/>
                <w:lang w:val="fr-CA"/>
              </w:rPr>
              <w:t>Ehrcke</w:t>
            </w:r>
            <w:proofErr w:type="spellEnd"/>
            <w:r w:rsidRPr="0088082D">
              <w:rPr>
                <w:sz w:val="20"/>
                <w:lang w:val="fr-CA"/>
              </w:rPr>
              <w:t xml:space="preserve"> a statué que l’art. 36 de la </w:t>
            </w:r>
            <w:r w:rsidRPr="0088082D">
              <w:rPr>
                <w:i/>
                <w:iCs/>
                <w:sz w:val="20"/>
                <w:lang w:val="fr-CA"/>
              </w:rPr>
              <w:t>LEJMC</w:t>
            </w:r>
            <w:r w:rsidRPr="0088082D">
              <w:rPr>
                <w:sz w:val="20"/>
                <w:lang w:val="fr-CA"/>
              </w:rPr>
              <w:t xml:space="preserve"> était inconstitutionnelle et a déclaré inopérants les par. 36(1) et (2). </w:t>
            </w:r>
            <w:r w:rsidRPr="0088082D">
              <w:rPr>
                <w:iCs/>
                <w:sz w:val="20"/>
                <w:lang w:val="fr-CA"/>
              </w:rPr>
              <w:t xml:space="preserve">Les intimés ont été acquittés quant aux accusations de passage de clandestins, l’infraction prévue à l’art. 117 de la </w:t>
            </w:r>
            <w:r w:rsidRPr="0088082D">
              <w:rPr>
                <w:i/>
                <w:iCs/>
                <w:sz w:val="20"/>
                <w:lang w:val="fr-CA"/>
              </w:rPr>
              <w:t>Loi sur l’immigration et la protection des réfugiés</w:t>
            </w:r>
            <w:r w:rsidRPr="0088082D">
              <w:rPr>
                <w:iCs/>
                <w:sz w:val="20"/>
                <w:lang w:val="fr-CA"/>
              </w:rPr>
              <w:t>.</w:t>
            </w:r>
            <w:r w:rsidRPr="0088082D">
              <w:rPr>
                <w:sz w:val="20"/>
                <w:lang w:val="fr-CA"/>
              </w:rPr>
              <w:t xml:space="preserve"> La Cour d’appel a confirmé les verdicts d’acquittement et a confirmé l’invalidité constitutionnelle de l’art. 36 de la</w:t>
            </w:r>
            <w:r w:rsidRPr="0088082D">
              <w:rPr>
                <w:i/>
                <w:iCs/>
                <w:sz w:val="20"/>
                <w:lang w:val="fr-CA"/>
              </w:rPr>
              <w:t xml:space="preserve"> LEJMC</w:t>
            </w:r>
            <w:r w:rsidRPr="0088082D">
              <w:rPr>
                <w:sz w:val="20"/>
                <w:lang w:val="fr-CA"/>
              </w:rPr>
              <w:t xml:space="preserve">. </w:t>
            </w:r>
            <w:r w:rsidRPr="0088082D">
              <w:rPr>
                <w:iCs/>
                <w:sz w:val="20"/>
                <w:lang w:val="fr-CA"/>
              </w:rPr>
              <w:t xml:space="preserve">La Cour d’appel a statué que l’art. 36 de la </w:t>
            </w:r>
            <w:r w:rsidRPr="0088082D">
              <w:rPr>
                <w:i/>
                <w:iCs/>
                <w:sz w:val="20"/>
                <w:lang w:val="fr-CA"/>
              </w:rPr>
              <w:t>LEJMC</w:t>
            </w:r>
            <w:r w:rsidRPr="0088082D">
              <w:rPr>
                <w:iCs/>
                <w:sz w:val="20"/>
                <w:lang w:val="fr-CA"/>
              </w:rPr>
              <w:t xml:space="preserve"> était inopérante à l’égard de la preuve du ministère public présentée dans un procès criminel.</w:t>
            </w:r>
          </w:p>
        </w:tc>
      </w:tr>
      <w:tr w:rsidR="0088648B" w:rsidRPr="0088082D" w:rsidTr="00E95A6A">
        <w:tc>
          <w:tcPr>
            <w:tcW w:w="5000" w:type="pct"/>
            <w:gridSpan w:val="4"/>
          </w:tcPr>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7 décembre 2016</w:t>
            </w:r>
          </w:p>
          <w:p w:rsidR="0088648B" w:rsidRPr="0088082D" w:rsidRDefault="0088648B" w:rsidP="006C75A6">
            <w:pPr>
              <w:jc w:val="both"/>
              <w:rPr>
                <w:sz w:val="20"/>
                <w:lang w:val="fr-CA"/>
              </w:rPr>
            </w:pPr>
            <w:r w:rsidRPr="0088082D">
              <w:rPr>
                <w:sz w:val="20"/>
                <w:lang w:val="fr-CA"/>
              </w:rPr>
              <w:t>Cour suprême de la Colombie</w:t>
            </w:r>
            <w:r w:rsidRPr="0088082D">
              <w:rPr>
                <w:sz w:val="20"/>
                <w:lang w:val="fr-CA"/>
              </w:rPr>
              <w:noBreakHyphen/>
              <w:t>Britannique</w:t>
            </w:r>
          </w:p>
          <w:p w:rsidR="0088648B" w:rsidRPr="0088082D" w:rsidRDefault="0088648B" w:rsidP="006C75A6">
            <w:pPr>
              <w:jc w:val="both"/>
              <w:rPr>
                <w:sz w:val="20"/>
                <w:lang w:val="fr-CA"/>
              </w:rPr>
            </w:pPr>
            <w:r w:rsidRPr="0088082D">
              <w:rPr>
                <w:sz w:val="20"/>
                <w:lang w:val="fr-CA"/>
              </w:rPr>
              <w:t xml:space="preserve">(Juge </w:t>
            </w:r>
            <w:proofErr w:type="spellStart"/>
            <w:r w:rsidRPr="0088082D">
              <w:rPr>
                <w:sz w:val="20"/>
                <w:lang w:val="fr-CA"/>
              </w:rPr>
              <w:t>Ehrcke</w:t>
            </w:r>
            <w:proofErr w:type="spellEnd"/>
            <w:r w:rsidRPr="0088082D">
              <w:rPr>
                <w:sz w:val="20"/>
                <w:lang w:val="fr-CA"/>
              </w:rPr>
              <w:t>)</w:t>
            </w:r>
          </w:p>
          <w:p w:rsidR="0088648B" w:rsidRPr="0088082D" w:rsidRDefault="0088082D" w:rsidP="006C75A6">
            <w:pPr>
              <w:jc w:val="both"/>
              <w:rPr>
                <w:sz w:val="20"/>
                <w:lang w:val="fr-CA"/>
              </w:rPr>
            </w:pPr>
            <w:hyperlink r:id="rId19" w:history="1">
              <w:r w:rsidR="0088648B" w:rsidRPr="0088082D">
                <w:rPr>
                  <w:rStyle w:val="Hyperlink"/>
                  <w:sz w:val="20"/>
                  <w:lang w:val="fr-CA"/>
                </w:rPr>
                <w:t>2016 BCSC 2400</w:t>
              </w:r>
            </w:hyperlink>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 xml:space="preserve">Jugement statuant que les par. 36(1) et 36(2) de la </w:t>
            </w:r>
            <w:r w:rsidRPr="0088082D">
              <w:rPr>
                <w:i/>
                <w:iCs/>
                <w:sz w:val="20"/>
                <w:lang w:val="fr-CA"/>
              </w:rPr>
              <w:t>LEJMC</w:t>
            </w:r>
            <w:r w:rsidRPr="0088082D">
              <w:rPr>
                <w:sz w:val="20"/>
                <w:lang w:val="fr-CA"/>
              </w:rPr>
              <w:t xml:space="preserve"> sont constitutionnellement invalides</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18 juin 2019</w:t>
            </w:r>
          </w:p>
          <w:p w:rsidR="0088648B" w:rsidRPr="0088082D" w:rsidRDefault="0088648B" w:rsidP="006C75A6">
            <w:pPr>
              <w:jc w:val="both"/>
              <w:rPr>
                <w:sz w:val="20"/>
                <w:lang w:val="fr-CA"/>
              </w:rPr>
            </w:pPr>
            <w:r w:rsidRPr="0088082D">
              <w:rPr>
                <w:sz w:val="20"/>
                <w:lang w:val="fr-CA"/>
              </w:rPr>
              <w:t>Cour d’appel de la Colombie</w:t>
            </w:r>
            <w:r w:rsidRPr="0088082D">
              <w:rPr>
                <w:sz w:val="20"/>
                <w:lang w:val="fr-CA"/>
              </w:rPr>
              <w:noBreakHyphen/>
              <w:t>Britannique</w:t>
            </w:r>
          </w:p>
          <w:p w:rsidR="0088648B" w:rsidRPr="0088082D" w:rsidRDefault="0088648B" w:rsidP="006C75A6">
            <w:pPr>
              <w:jc w:val="both"/>
              <w:rPr>
                <w:sz w:val="20"/>
                <w:lang w:val="fr-CA"/>
              </w:rPr>
            </w:pPr>
            <w:r w:rsidRPr="0088082D">
              <w:rPr>
                <w:sz w:val="20"/>
                <w:lang w:val="fr-CA"/>
              </w:rPr>
              <w:t>(Vancouver)</w:t>
            </w:r>
          </w:p>
          <w:p w:rsidR="0088648B" w:rsidRPr="0088082D" w:rsidRDefault="0088648B" w:rsidP="006C75A6">
            <w:pPr>
              <w:jc w:val="both"/>
              <w:rPr>
                <w:sz w:val="20"/>
                <w:lang w:val="fr-CA"/>
              </w:rPr>
            </w:pPr>
            <w:r w:rsidRPr="0088082D">
              <w:rPr>
                <w:sz w:val="20"/>
                <w:lang w:val="fr-CA"/>
              </w:rPr>
              <w:t xml:space="preserve">(Juges </w:t>
            </w:r>
            <w:proofErr w:type="spellStart"/>
            <w:r w:rsidRPr="0088082D">
              <w:rPr>
                <w:sz w:val="20"/>
                <w:lang w:val="fr-CA"/>
              </w:rPr>
              <w:t>Frankel</w:t>
            </w:r>
            <w:proofErr w:type="spellEnd"/>
            <w:r w:rsidRPr="0088082D">
              <w:rPr>
                <w:sz w:val="20"/>
                <w:lang w:val="fr-CA"/>
              </w:rPr>
              <w:t xml:space="preserve">, Bennett et </w:t>
            </w:r>
            <w:proofErr w:type="spellStart"/>
            <w:r w:rsidRPr="0088082D">
              <w:rPr>
                <w:sz w:val="20"/>
                <w:lang w:val="fr-CA"/>
              </w:rPr>
              <w:t>Garson</w:t>
            </w:r>
            <w:proofErr w:type="spellEnd"/>
            <w:r w:rsidRPr="0088082D">
              <w:rPr>
                <w:sz w:val="20"/>
                <w:lang w:val="fr-CA"/>
              </w:rPr>
              <w:t>)</w:t>
            </w:r>
          </w:p>
          <w:p w:rsidR="0088648B" w:rsidRPr="0088082D" w:rsidRDefault="0088082D" w:rsidP="006C75A6">
            <w:pPr>
              <w:jc w:val="both"/>
              <w:rPr>
                <w:sz w:val="20"/>
                <w:lang w:val="fr-CA"/>
              </w:rPr>
            </w:pPr>
            <w:hyperlink r:id="rId20" w:history="1">
              <w:r w:rsidR="0088648B" w:rsidRPr="0088082D">
                <w:rPr>
                  <w:rStyle w:val="Hyperlink"/>
                  <w:sz w:val="20"/>
                  <w:lang w:val="fr-CA"/>
                </w:rPr>
                <w:t>2019 BCCA 209</w:t>
              </w:r>
            </w:hyperlink>
          </w:p>
          <w:p w:rsidR="0088648B" w:rsidRPr="0088082D" w:rsidRDefault="0088648B" w:rsidP="006C75A6">
            <w:pPr>
              <w:jc w:val="both"/>
              <w:rPr>
                <w:sz w:val="20"/>
                <w:lang w:val="fr-CA"/>
              </w:rPr>
            </w:pPr>
            <w:r w:rsidRPr="0088082D">
              <w:rPr>
                <w:sz w:val="20"/>
                <w:lang w:val="fr-CA"/>
              </w:rPr>
              <w:t>CA44256, CA44257,</w:t>
            </w:r>
            <w:r w:rsidR="00B24B19" w:rsidRPr="0088082D">
              <w:rPr>
                <w:sz w:val="20"/>
                <w:lang w:val="fr-CA"/>
              </w:rPr>
              <w:t xml:space="preserve"> </w:t>
            </w:r>
            <w:r w:rsidRPr="0088082D">
              <w:rPr>
                <w:sz w:val="20"/>
                <w:lang w:val="fr-CA"/>
              </w:rPr>
              <w:t>CA44258</w:t>
            </w: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Arrêt rejetant les appels, confirmant les verdicts d’acquittement et confirmant l’invalidité constitutionnelle de l’art. 36 de la</w:t>
            </w:r>
            <w:r w:rsidRPr="0088082D">
              <w:rPr>
                <w:i/>
                <w:iCs/>
                <w:sz w:val="20"/>
                <w:lang w:val="fr-CA"/>
              </w:rPr>
              <w:t xml:space="preserve"> LEJMC</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22 octobre 2019</w:t>
            </w:r>
          </w:p>
          <w:p w:rsidR="0088648B" w:rsidRPr="0088082D" w:rsidRDefault="0088648B" w:rsidP="006C75A6">
            <w:pPr>
              <w:jc w:val="both"/>
              <w:rPr>
                <w:sz w:val="20"/>
                <w:lang w:val="fr-CA"/>
              </w:rPr>
            </w:pPr>
            <w:r w:rsidRPr="0088082D">
              <w:rPr>
                <w:sz w:val="20"/>
                <w:lang w:val="fr-CA"/>
              </w:rPr>
              <w:t>Cour suprême du Canada</w:t>
            </w:r>
          </w:p>
          <w:p w:rsidR="0088648B" w:rsidRPr="0088082D" w:rsidRDefault="0088648B" w:rsidP="006C75A6">
            <w:pPr>
              <w:jc w:val="both"/>
              <w:rPr>
                <w:sz w:val="20"/>
                <w:lang w:val="fr-CA"/>
              </w:rPr>
            </w:pP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B24B19">
            <w:pPr>
              <w:jc w:val="both"/>
              <w:rPr>
                <w:sz w:val="20"/>
                <w:lang w:val="fr-CA"/>
              </w:rPr>
            </w:pPr>
            <w:r w:rsidRPr="0088082D">
              <w:rPr>
                <w:sz w:val="20"/>
                <w:lang w:val="fr-CA"/>
              </w:rPr>
              <w:t>Dépôt de la requête en prorogation du délai de signification et de dépôt de la demande d’autorisation d’appel, de la requête en réunion des demandes et de la demande d’autorisation d’appel</w:t>
            </w:r>
          </w:p>
        </w:tc>
      </w:tr>
    </w:tbl>
    <w:p w:rsidR="0088648B" w:rsidRPr="0088082D" w:rsidRDefault="0088648B" w:rsidP="006C75A6">
      <w:pPr>
        <w:jc w:val="both"/>
        <w:rPr>
          <w:sz w:val="20"/>
          <w:lang w:val="fr-CA"/>
        </w:rPr>
      </w:pPr>
    </w:p>
    <w:p w:rsidR="0088648B" w:rsidRPr="0088082D" w:rsidRDefault="0088082D" w:rsidP="006C75A6">
      <w:pPr>
        <w:ind w:left="142" w:hanging="142"/>
        <w:jc w:val="both"/>
        <w:rPr>
          <w:sz w:val="20"/>
          <w:lang w:val="fr-CA"/>
        </w:rPr>
      </w:pPr>
      <w:r w:rsidRPr="0088082D">
        <w:rPr>
          <w:sz w:val="20"/>
        </w:rPr>
        <w:pict>
          <v:rect id="_x0000_i1032" style="width:2in;height:1pt" o:hrpct="0" o:hralign="center" o:hrstd="t" o:hrnoshade="t" o:hr="t" fillcolor="black [3213]" stroked="f"/>
        </w:pict>
      </w:r>
    </w:p>
    <w:p w:rsidR="0088648B" w:rsidRPr="0088082D" w:rsidRDefault="0088648B" w:rsidP="006C75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rPr>
            </w:pPr>
            <w:r w:rsidRPr="0088082D">
              <w:rPr>
                <w:rStyle w:val="SCCFileNumberChar"/>
                <w:sz w:val="20"/>
                <w:szCs w:val="20"/>
              </w:rPr>
              <w:t>38828</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Corporation of the City of Victoria v. Canadian Plastic Bag Association</w:t>
            </w:r>
          </w:p>
          <w:p w:rsidR="0088648B" w:rsidRPr="0088082D" w:rsidRDefault="0088648B" w:rsidP="006C75A6">
            <w:pPr>
              <w:jc w:val="both"/>
              <w:rPr>
                <w:sz w:val="20"/>
              </w:rPr>
            </w:pPr>
            <w:r w:rsidRPr="0088082D">
              <w:rPr>
                <w:sz w:val="20"/>
              </w:rPr>
              <w:t>(B.C.) (Civil) (By Leave)</w:t>
            </w:r>
          </w:p>
        </w:tc>
      </w:tr>
      <w:tr w:rsidR="0088648B" w:rsidRPr="0088082D" w:rsidTr="00E95A6A">
        <w:tc>
          <w:tcPr>
            <w:tcW w:w="5000" w:type="pct"/>
            <w:gridSpan w:val="4"/>
          </w:tcPr>
          <w:p w:rsidR="0088648B" w:rsidRPr="0088082D" w:rsidRDefault="0088648B" w:rsidP="006C75A6">
            <w:pPr>
              <w:jc w:val="both"/>
              <w:rPr>
                <w:sz w:val="20"/>
              </w:rPr>
            </w:pPr>
            <w:r w:rsidRPr="0088082D">
              <w:rPr>
                <w:sz w:val="20"/>
              </w:rPr>
              <w:t>Municipal law — By</w:t>
            </w:r>
            <w:r w:rsidRPr="0088082D">
              <w:rPr>
                <w:sz w:val="20"/>
              </w:rPr>
              <w:noBreakHyphen/>
              <w:t xml:space="preserve">laws — Validity — Municipality enacting bylaw prohibiting merchants from providing plastic bags to customers on check out — Municipality empowered to regulate in relation to business but required to obtain agreement or approval of province to regulate in relation to protection of natural environment — Chambers judge holding bylaw regulating in relation to business — Court of appeal holding bylaw related to protection of the environment — Whether a municipal bylaw that is motivated in part by environmental concerns is inherently an </w:t>
            </w:r>
            <w:r w:rsidRPr="0088082D">
              <w:rPr>
                <w:sz w:val="20"/>
              </w:rPr>
              <w:lastRenderedPageBreak/>
              <w:t xml:space="preserve">environmental bylaw that can only be adopted under a power to regulate in relation to the environment — </w:t>
            </w:r>
            <w:r w:rsidRPr="0088082D">
              <w:rPr>
                <w:i/>
                <w:sz w:val="20"/>
              </w:rPr>
              <w:t>Community Charter</w:t>
            </w:r>
            <w:r w:rsidRPr="0088082D">
              <w:rPr>
                <w:sz w:val="20"/>
              </w:rPr>
              <w:t>, S.B.C. 2003, c. 26, ss. 8, 9 — City of Victoria Bylaw No. 18</w:t>
            </w:r>
            <w:r w:rsidRPr="0088082D">
              <w:rPr>
                <w:sz w:val="20"/>
              </w:rPr>
              <w:noBreakHyphen/>
              <w:t xml:space="preserve">008, </w:t>
            </w:r>
            <w:r w:rsidRPr="0088082D">
              <w:rPr>
                <w:i/>
                <w:sz w:val="20"/>
              </w:rPr>
              <w:t>Checkout Bag Regulation Bylaw</w:t>
            </w:r>
            <w:r w:rsidRPr="0088082D">
              <w:rPr>
                <w:sz w:val="20"/>
              </w:rPr>
              <w:t>.</w:t>
            </w:r>
          </w:p>
        </w:tc>
      </w:tr>
      <w:tr w:rsidR="0088648B" w:rsidRPr="0088082D" w:rsidTr="00E95A6A">
        <w:tc>
          <w:tcPr>
            <w:tcW w:w="5000" w:type="pct"/>
            <w:gridSpan w:val="4"/>
          </w:tcPr>
          <w:p w:rsidR="0088648B" w:rsidRPr="0088082D" w:rsidRDefault="0088648B" w:rsidP="006C75A6">
            <w:pPr>
              <w:jc w:val="both"/>
              <w:rPr>
                <w:sz w:val="20"/>
              </w:rPr>
            </w:pPr>
          </w:p>
        </w:tc>
      </w:tr>
      <w:tr w:rsidR="0088648B" w:rsidRPr="0088082D" w:rsidTr="00E95A6A">
        <w:tc>
          <w:tcPr>
            <w:tcW w:w="5000" w:type="pct"/>
            <w:gridSpan w:val="4"/>
          </w:tcPr>
          <w:p w:rsidR="0088648B" w:rsidRPr="0088082D" w:rsidRDefault="0088648B" w:rsidP="006C75A6">
            <w:pPr>
              <w:jc w:val="both"/>
              <w:rPr>
                <w:sz w:val="20"/>
              </w:rPr>
            </w:pPr>
            <w:r w:rsidRPr="0088082D">
              <w:rPr>
                <w:sz w:val="20"/>
              </w:rPr>
              <w:t xml:space="preserve">In January 2018, the City of Victoria (“Victoria”) enacted a bylaw prohibiting merchants from providing plastic bags to customers on check out and requiring that any bags made available be paper or reusable bags and that customers be required to pay a fee for them. Victoria had delegated authority from the province under the </w:t>
            </w:r>
            <w:r w:rsidRPr="0088082D">
              <w:rPr>
                <w:i/>
                <w:sz w:val="20"/>
              </w:rPr>
              <w:t>Community Charter</w:t>
            </w:r>
            <w:r w:rsidRPr="0088082D">
              <w:rPr>
                <w:sz w:val="20"/>
              </w:rPr>
              <w:t xml:space="preserve">, S.B.C. 2003, </w:t>
            </w:r>
            <w:proofErr w:type="gramStart"/>
            <w:r w:rsidRPr="0088082D">
              <w:rPr>
                <w:sz w:val="20"/>
              </w:rPr>
              <w:t>c</w:t>
            </w:r>
            <w:proofErr w:type="gramEnd"/>
            <w:r w:rsidRPr="0088082D">
              <w:rPr>
                <w:sz w:val="20"/>
              </w:rPr>
              <w:t xml:space="preserve">. 26, to regulate in relation to business. The </w:t>
            </w:r>
            <w:r w:rsidRPr="0088082D">
              <w:rPr>
                <w:i/>
                <w:sz w:val="20"/>
              </w:rPr>
              <w:t xml:space="preserve">Community Charter </w:t>
            </w:r>
            <w:r w:rsidRPr="0088082D">
              <w:rPr>
                <w:sz w:val="20"/>
              </w:rPr>
              <w:t>also allowed it to enact bylaws in relation to protection of the natural environment but only if it had entered into an agreement with the province or gotten the approval of the Minister of Environment, which Victoria had not done for this bylaw.</w:t>
            </w:r>
          </w:p>
          <w:p w:rsidR="0088648B" w:rsidRPr="0088082D" w:rsidRDefault="0088648B" w:rsidP="006C75A6">
            <w:pPr>
              <w:jc w:val="both"/>
              <w:rPr>
                <w:sz w:val="20"/>
              </w:rPr>
            </w:pPr>
          </w:p>
          <w:p w:rsidR="0088648B" w:rsidRPr="0088082D" w:rsidRDefault="0088648B" w:rsidP="006C75A6">
            <w:pPr>
              <w:jc w:val="both"/>
              <w:rPr>
                <w:sz w:val="20"/>
              </w:rPr>
            </w:pPr>
            <w:r w:rsidRPr="0088082D">
              <w:rPr>
                <w:sz w:val="20"/>
              </w:rPr>
              <w:t xml:space="preserve">The Canadian Plastic Bag Association filed a petition for judicial review of the bylaw, seeking a declaration that the bylaw was </w:t>
            </w:r>
            <w:r w:rsidRPr="0088082D">
              <w:rPr>
                <w:i/>
                <w:sz w:val="20"/>
              </w:rPr>
              <w:t xml:space="preserve">ultra vires </w:t>
            </w:r>
            <w:r w:rsidRPr="0088082D">
              <w:rPr>
                <w:sz w:val="20"/>
              </w:rPr>
              <w:t>Victoria and an order quashing it. At first instance, the judge found that the bylaw was properly characterized as a bylaw regulating in relation to business. The Court of Appeal overturned that decision, holding that the bylaw related to the protection of the environment and quashing it.</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June 19, 2018</w:t>
            </w:r>
          </w:p>
          <w:p w:rsidR="0088648B" w:rsidRPr="0088082D" w:rsidRDefault="0088648B" w:rsidP="006C75A6">
            <w:pPr>
              <w:jc w:val="both"/>
              <w:rPr>
                <w:sz w:val="20"/>
              </w:rPr>
            </w:pPr>
            <w:r w:rsidRPr="0088082D">
              <w:rPr>
                <w:sz w:val="20"/>
              </w:rPr>
              <w:t>Supreme Court of British Columbia</w:t>
            </w:r>
          </w:p>
          <w:p w:rsidR="0088648B" w:rsidRPr="0088082D" w:rsidRDefault="0088648B" w:rsidP="006C75A6">
            <w:pPr>
              <w:jc w:val="both"/>
              <w:rPr>
                <w:sz w:val="20"/>
              </w:rPr>
            </w:pPr>
            <w:r w:rsidRPr="0088082D">
              <w:rPr>
                <w:sz w:val="20"/>
              </w:rPr>
              <w:t>(Smith J.)</w:t>
            </w:r>
          </w:p>
          <w:p w:rsidR="0088648B" w:rsidRPr="0088082D" w:rsidRDefault="0088082D" w:rsidP="006C75A6">
            <w:pPr>
              <w:jc w:val="both"/>
              <w:rPr>
                <w:sz w:val="20"/>
              </w:rPr>
            </w:pPr>
            <w:hyperlink r:id="rId21" w:history="1">
              <w:r w:rsidR="0088648B" w:rsidRPr="0088082D">
                <w:rPr>
                  <w:rStyle w:val="Hyperlink"/>
                  <w:sz w:val="20"/>
                </w:rPr>
                <w:t>2018 BCSC 1007</w:t>
              </w:r>
            </w:hyperlink>
            <w:r w:rsidR="0088648B" w:rsidRPr="0088082D">
              <w:rPr>
                <w:sz w:val="20"/>
              </w:rPr>
              <w:t xml:space="preserve"> </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Respondent’s petition for an order setting aside the City of Victoria’s  Bylaw No. 18</w:t>
            </w:r>
            <w:r w:rsidRPr="0088082D">
              <w:rPr>
                <w:sz w:val="20"/>
              </w:rPr>
              <w:noBreakHyphen/>
              <w:t>008, the “Checkout Bag Regulation Bylaw”, dismissed</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July 11, 2019</w:t>
            </w:r>
          </w:p>
          <w:p w:rsidR="0088648B" w:rsidRPr="0088082D" w:rsidRDefault="0088648B" w:rsidP="006C75A6">
            <w:pPr>
              <w:jc w:val="both"/>
              <w:rPr>
                <w:sz w:val="20"/>
              </w:rPr>
            </w:pPr>
            <w:r w:rsidRPr="0088082D">
              <w:rPr>
                <w:sz w:val="20"/>
              </w:rPr>
              <w:t>Court of Appeal for British Columbia</w:t>
            </w:r>
          </w:p>
          <w:p w:rsidR="0088648B" w:rsidRPr="0088082D" w:rsidRDefault="0088648B" w:rsidP="006C75A6">
            <w:pPr>
              <w:jc w:val="both"/>
              <w:rPr>
                <w:sz w:val="20"/>
              </w:rPr>
            </w:pPr>
            <w:r w:rsidRPr="0088082D">
              <w:rPr>
                <w:sz w:val="20"/>
              </w:rPr>
              <w:t>(Vancouver)</w:t>
            </w:r>
          </w:p>
          <w:p w:rsidR="0088648B" w:rsidRPr="0088082D" w:rsidRDefault="0088648B" w:rsidP="006C75A6">
            <w:pPr>
              <w:jc w:val="both"/>
              <w:rPr>
                <w:sz w:val="20"/>
              </w:rPr>
            </w:pPr>
            <w:r w:rsidRPr="0088082D">
              <w:rPr>
                <w:sz w:val="20"/>
              </w:rPr>
              <w:t>(Newbury, Garson and Fisher JJ.A.)</w:t>
            </w:r>
          </w:p>
          <w:p w:rsidR="0088648B" w:rsidRPr="0088082D" w:rsidRDefault="0088082D" w:rsidP="006C75A6">
            <w:pPr>
              <w:jc w:val="both"/>
              <w:rPr>
                <w:sz w:val="20"/>
              </w:rPr>
            </w:pPr>
            <w:hyperlink r:id="rId22" w:history="1">
              <w:r w:rsidR="0088648B" w:rsidRPr="0088082D">
                <w:rPr>
                  <w:rStyle w:val="Hyperlink"/>
                  <w:sz w:val="20"/>
                </w:rPr>
                <w:t>2019 BCCA 254</w:t>
              </w:r>
            </w:hyperlink>
            <w:r w:rsidR="0088648B" w:rsidRPr="0088082D">
              <w:rPr>
                <w:sz w:val="20"/>
              </w:rPr>
              <w:t xml:space="preserve"> (CA45452)</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Respondent’s appeal allowed; bylaw quashed</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September 27, 2019</w:t>
            </w:r>
          </w:p>
          <w:p w:rsidR="0088648B" w:rsidRPr="0088082D" w:rsidRDefault="0088648B" w:rsidP="006C75A6">
            <w:pPr>
              <w:jc w:val="both"/>
              <w:rPr>
                <w:sz w:val="20"/>
              </w:rPr>
            </w:pPr>
            <w:r w:rsidRPr="0088082D">
              <w:rPr>
                <w:sz w:val="20"/>
              </w:rPr>
              <w:t>Supreme Court of Canada</w:t>
            </w: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Application for leave to appeal filed</w:t>
            </w:r>
          </w:p>
          <w:p w:rsidR="0088648B" w:rsidRPr="0088082D" w:rsidRDefault="0088648B" w:rsidP="006C75A6">
            <w:pPr>
              <w:jc w:val="both"/>
              <w:rPr>
                <w:sz w:val="20"/>
              </w:rPr>
            </w:pPr>
          </w:p>
        </w:tc>
      </w:tr>
    </w:tbl>
    <w:p w:rsidR="0088648B" w:rsidRPr="0088082D" w:rsidRDefault="0088648B" w:rsidP="006C75A6">
      <w:pPr>
        <w:jc w:val="both"/>
        <w:rPr>
          <w:sz w:val="20"/>
        </w:rPr>
      </w:pPr>
    </w:p>
    <w:p w:rsidR="0088648B" w:rsidRPr="0088082D" w:rsidRDefault="0088082D" w:rsidP="006C75A6">
      <w:pPr>
        <w:jc w:val="both"/>
        <w:rPr>
          <w:sz w:val="20"/>
        </w:rPr>
      </w:pPr>
      <w:r w:rsidRPr="0088082D">
        <w:rPr>
          <w:sz w:val="20"/>
        </w:rPr>
        <w:pict>
          <v:rect id="_x0000_i1033" style="width:2in;height:1pt" o:hrpct="0" o:hralign="center" o:hrstd="t" o:hrnoshade="t" o:hr="t" fillcolor="black [3213]" stroked="f"/>
        </w:pict>
      </w:r>
    </w:p>
    <w:p w:rsidR="0088648B" w:rsidRPr="0088082D" w:rsidRDefault="0088648B" w:rsidP="006C75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lang w:val="fr-CA"/>
              </w:rPr>
            </w:pPr>
            <w:r w:rsidRPr="0088082D">
              <w:rPr>
                <w:rStyle w:val="SCCFileNumberChar"/>
                <w:sz w:val="20"/>
                <w:szCs w:val="20"/>
                <w:lang w:val="fr-CA"/>
              </w:rPr>
              <w:t>38828</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 xml:space="preserve">Corporation of the City of Victoria c. </w:t>
            </w:r>
            <w:r w:rsidR="0043737C" w:rsidRPr="0088082D">
              <w:rPr>
                <w:b/>
                <w:sz w:val="20"/>
                <w:szCs w:val="20"/>
                <w:lang w:val="en-US"/>
              </w:rPr>
              <w:t>Association canadienne des sacs en plastique</w:t>
            </w:r>
          </w:p>
          <w:p w:rsidR="0088648B" w:rsidRPr="0088082D" w:rsidRDefault="0088648B" w:rsidP="006C75A6">
            <w:pPr>
              <w:jc w:val="both"/>
              <w:rPr>
                <w:sz w:val="20"/>
              </w:rPr>
            </w:pPr>
            <w:r w:rsidRPr="0088082D">
              <w:rPr>
                <w:sz w:val="20"/>
              </w:rPr>
              <w:t>(C.</w:t>
            </w:r>
            <w:r w:rsidRPr="0088082D">
              <w:rPr>
                <w:sz w:val="20"/>
              </w:rPr>
              <w:noBreakHyphen/>
              <w:t>B.) (Civile) (Autorisation)</w:t>
            </w:r>
          </w:p>
        </w:tc>
      </w:tr>
      <w:tr w:rsidR="0088648B" w:rsidRPr="0088082D" w:rsidTr="00E95A6A">
        <w:tc>
          <w:tcPr>
            <w:tcW w:w="5000" w:type="pct"/>
            <w:gridSpan w:val="4"/>
          </w:tcPr>
          <w:p w:rsidR="0088648B" w:rsidRPr="0088082D" w:rsidRDefault="0088648B" w:rsidP="006C75A6">
            <w:pPr>
              <w:jc w:val="both"/>
              <w:rPr>
                <w:sz w:val="20"/>
                <w:lang w:val="fr-CA"/>
              </w:rPr>
            </w:pPr>
            <w:r w:rsidRPr="0088082D">
              <w:rPr>
                <w:sz w:val="20"/>
                <w:lang w:val="fr-CA"/>
              </w:rPr>
              <w:t>Droit municipal — Règlements — Validité — La municipalité a adopté un règlement interdisant aux marchands de fournir des sacs de plastique à leurs clients à la caisse — La municipalité a le pouvoir de prendre des règlements en lien avec les entreprises, mais doit obtenir l’accord ou l’approbation de la Province pour prendre des règlements en lien avec la protection du milieu naturel — Le juge siégeant en son cabinet a statué que le règlement était en lien avec les entreprises — La Cour d’appel a statué que le règlement se rapportait à la protection de l’environnement — Un règlement municipal qui est motivé en partie par des préoccupations d’ordre environnemental est</w:t>
            </w:r>
            <w:r w:rsidRPr="0088082D">
              <w:rPr>
                <w:sz w:val="20"/>
                <w:lang w:val="fr-CA"/>
              </w:rPr>
              <w:noBreakHyphen/>
              <w:t xml:space="preserve">il foncièrement un règlement sur l’environnement qui ne peut être adopté qu’en exécution d’un pouvoir de prendre des règlements en lien avec l’environnement? — </w:t>
            </w:r>
            <w:r w:rsidRPr="0088082D">
              <w:rPr>
                <w:i/>
                <w:sz w:val="20"/>
                <w:lang w:val="fr-CA"/>
              </w:rPr>
              <w:t>Community Charter</w:t>
            </w:r>
            <w:r w:rsidRPr="0088082D">
              <w:rPr>
                <w:sz w:val="20"/>
                <w:lang w:val="fr-CA"/>
              </w:rPr>
              <w:t>, S.B.C. 2003, ch. 26, art. 8, 9 — Règlement n</w:t>
            </w:r>
            <w:r w:rsidRPr="0088082D">
              <w:rPr>
                <w:sz w:val="20"/>
                <w:vertAlign w:val="superscript"/>
                <w:lang w:val="fr-CA"/>
              </w:rPr>
              <w:t>o</w:t>
            </w:r>
            <w:r w:rsidRPr="0088082D">
              <w:rPr>
                <w:sz w:val="20"/>
                <w:lang w:val="fr-CA"/>
              </w:rPr>
              <w:t xml:space="preserve"> 18</w:t>
            </w:r>
            <w:r w:rsidRPr="0088082D">
              <w:rPr>
                <w:sz w:val="20"/>
                <w:lang w:val="fr-CA"/>
              </w:rPr>
              <w:noBreakHyphen/>
              <w:t xml:space="preserve">008 de la Ville de Victoria, </w:t>
            </w:r>
            <w:r w:rsidRPr="0088082D">
              <w:rPr>
                <w:i/>
                <w:sz w:val="20"/>
                <w:lang w:val="fr-CA"/>
              </w:rPr>
              <w:t>Checkout Bag Regulation Bylaw</w:t>
            </w:r>
            <w:r w:rsidRPr="0088082D">
              <w:rPr>
                <w:sz w:val="20"/>
                <w:lang w:val="fr-CA"/>
              </w:rPr>
              <w:t>.</w:t>
            </w:r>
          </w:p>
        </w:tc>
      </w:tr>
      <w:tr w:rsidR="0088648B" w:rsidRPr="0088082D" w:rsidTr="00E95A6A">
        <w:tc>
          <w:tcPr>
            <w:tcW w:w="5000" w:type="pct"/>
            <w:gridSpan w:val="4"/>
          </w:tcPr>
          <w:p w:rsidR="0088648B" w:rsidRPr="0088082D" w:rsidRDefault="0088648B" w:rsidP="006C75A6">
            <w:pPr>
              <w:jc w:val="both"/>
              <w:rPr>
                <w:sz w:val="20"/>
                <w:lang w:val="fr-CA"/>
              </w:rPr>
            </w:pPr>
          </w:p>
        </w:tc>
      </w:tr>
      <w:tr w:rsidR="0088648B" w:rsidRPr="0088082D" w:rsidTr="00E95A6A">
        <w:tc>
          <w:tcPr>
            <w:tcW w:w="5000" w:type="pct"/>
            <w:gridSpan w:val="4"/>
          </w:tcPr>
          <w:p w:rsidR="0088648B" w:rsidRPr="0088082D" w:rsidRDefault="0088648B" w:rsidP="006C75A6">
            <w:pPr>
              <w:jc w:val="both"/>
              <w:rPr>
                <w:sz w:val="20"/>
                <w:lang w:val="fr-CA"/>
              </w:rPr>
            </w:pPr>
            <w:r w:rsidRPr="0088082D">
              <w:rPr>
                <w:sz w:val="20"/>
                <w:lang w:val="fr-CA"/>
              </w:rPr>
              <w:t xml:space="preserve">En janvier 2018, la Ville de Victoria (« Victoria ») a adopté un règlement interdisant aux marchands de fournir des sacs de plastique à leurs clients à la caisse et en vertu duquel seuls les sacs de papier ou des sacs réutilisables pouvaient être offerts, moyennant des frais payables par les clients. Victoria jouissait du pouvoir que lui avait délégué la province, en vertu de la </w:t>
            </w:r>
            <w:r w:rsidRPr="0088082D">
              <w:rPr>
                <w:i/>
                <w:sz w:val="20"/>
                <w:lang w:val="fr-CA"/>
              </w:rPr>
              <w:t>Community Charter</w:t>
            </w:r>
            <w:r w:rsidRPr="0088082D">
              <w:rPr>
                <w:sz w:val="20"/>
                <w:lang w:val="fr-CA"/>
              </w:rPr>
              <w:t xml:space="preserve">, S.B.C. 2003, c. 26, de prendre des règlements en lien avec les entreprises. La </w:t>
            </w:r>
            <w:r w:rsidRPr="0088082D">
              <w:rPr>
                <w:i/>
                <w:sz w:val="20"/>
                <w:lang w:val="fr-CA"/>
              </w:rPr>
              <w:t xml:space="preserve">Community Charter </w:t>
            </w:r>
            <w:r w:rsidRPr="0088082D">
              <w:rPr>
                <w:sz w:val="20"/>
                <w:lang w:val="fr-CA"/>
              </w:rPr>
              <w:t>l’autorisait en outre à adopter des règlements en lien avec la protection du milieu naturel, mais seulement si elle avait conclu un accord avec la Province ou obtenu l’approbation du ministre de l’Environnement, ce que Victoria n’avait pas fait pour ce règlement.</w:t>
            </w:r>
          </w:p>
          <w:p w:rsidR="0088648B" w:rsidRPr="0088082D" w:rsidRDefault="0088648B" w:rsidP="006C75A6">
            <w:pPr>
              <w:jc w:val="both"/>
              <w:rPr>
                <w:sz w:val="20"/>
                <w:lang w:val="fr-CA"/>
              </w:rPr>
            </w:pPr>
          </w:p>
          <w:p w:rsidR="0088648B" w:rsidRPr="0088082D" w:rsidRDefault="0088648B" w:rsidP="006C75A6">
            <w:pPr>
              <w:jc w:val="both"/>
              <w:rPr>
                <w:sz w:val="20"/>
                <w:lang w:val="fr-CA"/>
              </w:rPr>
            </w:pPr>
            <w:r w:rsidRPr="0088082D">
              <w:rPr>
                <w:sz w:val="20"/>
                <w:lang w:val="fr-CA"/>
              </w:rPr>
              <w:t xml:space="preserve">La Canadian Plastic Bag Association a déposé une requête en contrôle judiciaire du règlement, sollicitant un jugement déclarant qu’en adoptant le règlement, Victoria avait outrepassé sa compétence, et une ordonnance annulant le règlement. En première instance, le juge a conclu que le règlement avait été qualifié à bon droit de règlement en lien </w:t>
            </w:r>
            <w:r w:rsidRPr="0088082D">
              <w:rPr>
                <w:sz w:val="20"/>
                <w:lang w:val="fr-CA"/>
              </w:rPr>
              <w:lastRenderedPageBreak/>
              <w:t>avec les entreprises. La Cour d’appel a infirmé cette décision, statuant que le règlement avait trait à la protection de l’environnement et annulant le règlement.</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lastRenderedPageBreak/>
              <w:t>19 juin 2018</w:t>
            </w:r>
          </w:p>
          <w:p w:rsidR="0088648B" w:rsidRPr="0088082D" w:rsidRDefault="0088648B" w:rsidP="006C75A6">
            <w:pPr>
              <w:jc w:val="both"/>
              <w:rPr>
                <w:sz w:val="20"/>
                <w:lang w:val="fr-CA"/>
              </w:rPr>
            </w:pPr>
            <w:r w:rsidRPr="0088082D">
              <w:rPr>
                <w:sz w:val="20"/>
                <w:lang w:val="fr-CA"/>
              </w:rPr>
              <w:t>Cour suprême de la Colombie-Britannique</w:t>
            </w:r>
          </w:p>
          <w:p w:rsidR="0088648B" w:rsidRPr="0088082D" w:rsidRDefault="0088648B" w:rsidP="006C75A6">
            <w:pPr>
              <w:jc w:val="both"/>
              <w:rPr>
                <w:sz w:val="20"/>
                <w:lang w:val="fr-CA"/>
              </w:rPr>
            </w:pPr>
            <w:r w:rsidRPr="0088082D">
              <w:rPr>
                <w:sz w:val="20"/>
                <w:lang w:val="fr-CA"/>
              </w:rPr>
              <w:t>(Juge Smith)</w:t>
            </w:r>
          </w:p>
          <w:p w:rsidR="0088648B" w:rsidRPr="0088082D" w:rsidRDefault="0088082D" w:rsidP="006C75A6">
            <w:pPr>
              <w:jc w:val="both"/>
              <w:rPr>
                <w:sz w:val="20"/>
                <w:lang w:val="fr-CA"/>
              </w:rPr>
            </w:pPr>
            <w:hyperlink r:id="rId23" w:history="1">
              <w:r w:rsidR="0088648B" w:rsidRPr="0088082D">
                <w:rPr>
                  <w:rStyle w:val="Hyperlink"/>
                  <w:sz w:val="20"/>
                  <w:lang w:val="fr-CA"/>
                </w:rPr>
                <w:t>2018 BCSC 1007</w:t>
              </w:r>
            </w:hyperlink>
            <w:r w:rsidR="0088648B" w:rsidRPr="0088082D">
              <w:rPr>
                <w:sz w:val="20"/>
                <w:lang w:val="fr-CA"/>
              </w:rPr>
              <w:t xml:space="preserve"> </w:t>
            </w: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Rejet de la requête de l’intimée en vue d’obtenir une ordonnance annulant le règlement n</w:t>
            </w:r>
            <w:r w:rsidRPr="0088082D">
              <w:rPr>
                <w:sz w:val="20"/>
                <w:vertAlign w:val="superscript"/>
                <w:lang w:val="fr-CA"/>
              </w:rPr>
              <w:t>o</w:t>
            </w:r>
            <w:r w:rsidRPr="0088082D">
              <w:rPr>
                <w:sz w:val="20"/>
                <w:lang w:val="fr-CA"/>
              </w:rPr>
              <w:t> 18</w:t>
            </w:r>
            <w:r w:rsidRPr="0088082D">
              <w:rPr>
                <w:sz w:val="20"/>
                <w:lang w:val="fr-CA"/>
              </w:rPr>
              <w:noBreakHyphen/>
              <w:t>008, intitulé « Checkout Bag Regulation Bylaw »</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11 juillet 2019</w:t>
            </w:r>
          </w:p>
          <w:p w:rsidR="0088648B" w:rsidRPr="0088082D" w:rsidRDefault="0088648B" w:rsidP="006C75A6">
            <w:pPr>
              <w:jc w:val="both"/>
              <w:rPr>
                <w:sz w:val="20"/>
                <w:lang w:val="fr-CA"/>
              </w:rPr>
            </w:pPr>
            <w:r w:rsidRPr="0088082D">
              <w:rPr>
                <w:sz w:val="20"/>
                <w:lang w:val="fr-CA"/>
              </w:rPr>
              <w:t>Cour d’appel de la Colombie</w:t>
            </w:r>
            <w:r w:rsidRPr="0088082D">
              <w:rPr>
                <w:sz w:val="20"/>
                <w:lang w:val="fr-CA"/>
              </w:rPr>
              <w:noBreakHyphen/>
              <w:t>Britannique</w:t>
            </w:r>
          </w:p>
          <w:p w:rsidR="0088648B" w:rsidRPr="0088082D" w:rsidRDefault="0088648B" w:rsidP="006C75A6">
            <w:pPr>
              <w:jc w:val="both"/>
              <w:rPr>
                <w:sz w:val="20"/>
                <w:lang w:val="fr-CA"/>
              </w:rPr>
            </w:pPr>
            <w:r w:rsidRPr="0088082D">
              <w:rPr>
                <w:sz w:val="20"/>
                <w:lang w:val="fr-CA"/>
              </w:rPr>
              <w:t>(Vancouver)</w:t>
            </w:r>
          </w:p>
          <w:p w:rsidR="0088648B" w:rsidRPr="0088082D" w:rsidRDefault="0088648B" w:rsidP="006C75A6">
            <w:pPr>
              <w:jc w:val="both"/>
              <w:rPr>
                <w:sz w:val="20"/>
                <w:lang w:val="fr-CA"/>
              </w:rPr>
            </w:pPr>
            <w:r w:rsidRPr="0088082D">
              <w:rPr>
                <w:sz w:val="20"/>
                <w:lang w:val="fr-CA"/>
              </w:rPr>
              <w:t>(Juges Newbury, Garson et Fisher)</w:t>
            </w:r>
          </w:p>
          <w:p w:rsidR="0088648B" w:rsidRPr="0088082D" w:rsidRDefault="0088082D" w:rsidP="006C75A6">
            <w:pPr>
              <w:jc w:val="both"/>
              <w:rPr>
                <w:sz w:val="20"/>
                <w:lang w:val="fr-CA"/>
              </w:rPr>
            </w:pPr>
            <w:hyperlink r:id="rId24" w:history="1">
              <w:r w:rsidR="0088648B" w:rsidRPr="0088082D">
                <w:rPr>
                  <w:rStyle w:val="Hyperlink"/>
                  <w:sz w:val="20"/>
                  <w:lang w:val="fr-CA"/>
                </w:rPr>
                <w:t>2019 BCCA 254</w:t>
              </w:r>
            </w:hyperlink>
            <w:r w:rsidR="0088648B" w:rsidRPr="0088082D">
              <w:rPr>
                <w:sz w:val="20"/>
                <w:lang w:val="fr-CA"/>
              </w:rPr>
              <w:t xml:space="preserve"> (CA45452)</w:t>
            </w: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Arrêt accueillant l’appel de l’intimée et annulant le règlement</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27 septembre 2019</w:t>
            </w:r>
          </w:p>
          <w:p w:rsidR="0088648B" w:rsidRPr="0088082D" w:rsidRDefault="0088648B" w:rsidP="006C75A6">
            <w:pPr>
              <w:jc w:val="both"/>
              <w:rPr>
                <w:sz w:val="20"/>
                <w:lang w:val="fr-CA"/>
              </w:rPr>
            </w:pPr>
            <w:r w:rsidRPr="0088082D">
              <w:rPr>
                <w:sz w:val="20"/>
                <w:lang w:val="fr-CA"/>
              </w:rPr>
              <w:t>Cour suprême du Canada</w:t>
            </w: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Dépôt de la demande d’autorisation d’appel</w:t>
            </w:r>
          </w:p>
          <w:p w:rsidR="0088648B" w:rsidRPr="0088082D" w:rsidRDefault="0088648B" w:rsidP="006C75A6">
            <w:pPr>
              <w:jc w:val="both"/>
              <w:rPr>
                <w:sz w:val="20"/>
                <w:lang w:val="fr-CA"/>
              </w:rPr>
            </w:pPr>
          </w:p>
        </w:tc>
      </w:tr>
    </w:tbl>
    <w:p w:rsidR="0088648B" w:rsidRPr="0088082D" w:rsidRDefault="0088648B" w:rsidP="006C75A6">
      <w:pPr>
        <w:jc w:val="both"/>
        <w:rPr>
          <w:sz w:val="20"/>
          <w:lang w:val="fr-CA"/>
        </w:rPr>
      </w:pPr>
    </w:p>
    <w:p w:rsidR="0088648B" w:rsidRPr="0088082D" w:rsidRDefault="0088082D" w:rsidP="006C75A6">
      <w:pPr>
        <w:jc w:val="both"/>
        <w:rPr>
          <w:sz w:val="20"/>
          <w:lang w:val="fr-CA"/>
        </w:rPr>
      </w:pPr>
      <w:r w:rsidRPr="0088082D">
        <w:rPr>
          <w:sz w:val="20"/>
        </w:rPr>
        <w:pict>
          <v:rect id="_x0000_i1034" style="width:2in;height:1pt" o:hrpct="0" o:hralign="center" o:hrstd="t" o:hrnoshade="t" o:hr="t" fillcolor="black [3213]" stroked="f"/>
        </w:pict>
      </w:r>
    </w:p>
    <w:p w:rsidR="0088648B" w:rsidRPr="0088082D" w:rsidRDefault="0088648B" w:rsidP="006C75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rPr>
            </w:pPr>
            <w:r w:rsidRPr="0088082D">
              <w:rPr>
                <w:rStyle w:val="SCCFileNumberChar"/>
                <w:sz w:val="20"/>
                <w:szCs w:val="20"/>
              </w:rPr>
              <w:t>38822</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Kim Kevin Hunt c/o Bradley James Hunt and Justin Abraham Hunt v. Kathleen A. Worrod, D. Andrew Thomson and Legal Aid Ontario</w:t>
            </w:r>
          </w:p>
          <w:p w:rsidR="0088648B" w:rsidRPr="0088082D" w:rsidRDefault="0088648B" w:rsidP="006C75A6">
            <w:pPr>
              <w:jc w:val="both"/>
              <w:rPr>
                <w:sz w:val="20"/>
              </w:rPr>
            </w:pPr>
            <w:r w:rsidRPr="0088082D">
              <w:rPr>
                <w:sz w:val="20"/>
              </w:rPr>
              <w:t>(Ont.) (Civil) (By Leave)</w:t>
            </w:r>
          </w:p>
        </w:tc>
      </w:tr>
      <w:tr w:rsidR="0088648B" w:rsidRPr="0088082D" w:rsidTr="00E95A6A">
        <w:tc>
          <w:tcPr>
            <w:tcW w:w="5000" w:type="pct"/>
            <w:gridSpan w:val="4"/>
          </w:tcPr>
          <w:p w:rsidR="0088648B" w:rsidRPr="0088082D" w:rsidRDefault="0088648B" w:rsidP="006C75A6">
            <w:pPr>
              <w:jc w:val="both"/>
              <w:rPr>
                <w:sz w:val="20"/>
              </w:rPr>
            </w:pPr>
            <w:r w:rsidRPr="0088082D">
              <w:rPr>
                <w:sz w:val="20"/>
              </w:rPr>
              <w:t xml:space="preserve">Civil procedure — Costs — Non-party — </w:t>
            </w:r>
            <w:r w:rsidRPr="0088082D">
              <w:rPr>
                <w:sz w:val="20"/>
                <w:lang w:val="en"/>
              </w:rPr>
              <w:t>Legal Aid Ontario funding a party in a family law dispute</w:t>
            </w:r>
            <w:r w:rsidRPr="0088082D">
              <w:rPr>
                <w:sz w:val="20"/>
              </w:rPr>
              <w:t xml:space="preserve"> — A</w:t>
            </w:r>
            <w:r w:rsidRPr="0088082D">
              <w:rPr>
                <w:sz w:val="20"/>
                <w:lang w:val="en"/>
              </w:rPr>
              <w:t xml:space="preserve">pplication judge concluding Legal Aid Ontario failed to adequately monitor and assess merits of defence it was funding and awarded costs against Legal Aid Ontario — Court of Appeal allowing appeal and setting aside cost award — </w:t>
            </w:r>
            <w:r w:rsidRPr="0088082D">
              <w:rPr>
                <w:sz w:val="20"/>
              </w:rPr>
              <w:t>Whether Court of Appeal erred in reversing cost decision wherein Legal Aid Ontario, a non</w:t>
            </w:r>
            <w:r w:rsidRPr="0088082D">
              <w:rPr>
                <w:sz w:val="20"/>
              </w:rPr>
              <w:noBreakHyphen/>
              <w:t>party, was ordered to pay costs to a vulnerable party who was  successful at trial.</w:t>
            </w:r>
          </w:p>
          <w:p w:rsidR="0088648B" w:rsidRPr="0088082D" w:rsidRDefault="0088648B" w:rsidP="006C75A6">
            <w:pPr>
              <w:jc w:val="both"/>
              <w:rPr>
                <w:sz w:val="20"/>
              </w:rPr>
            </w:pPr>
          </w:p>
        </w:tc>
      </w:tr>
      <w:tr w:rsidR="0088648B" w:rsidRPr="0088082D" w:rsidTr="00E95A6A">
        <w:tc>
          <w:tcPr>
            <w:tcW w:w="5000" w:type="pct"/>
            <w:gridSpan w:val="4"/>
          </w:tcPr>
          <w:p w:rsidR="0088648B" w:rsidRPr="0088082D" w:rsidRDefault="0088648B" w:rsidP="006C75A6">
            <w:pPr>
              <w:jc w:val="both"/>
              <w:rPr>
                <w:sz w:val="20"/>
              </w:rPr>
            </w:pPr>
            <w:r w:rsidRPr="0088082D">
              <w:rPr>
                <w:sz w:val="20"/>
                <w:lang w:val="en"/>
              </w:rPr>
              <w:t>This matter concerns an award of costs of $192,639.77 ordered to be paid by a non</w:t>
            </w:r>
            <w:r w:rsidRPr="0088082D">
              <w:rPr>
                <w:sz w:val="20"/>
                <w:lang w:val="en"/>
              </w:rPr>
              <w:noBreakHyphen/>
              <w:t>party, Legal Aid Ontario (“LAO”), due to its role in funding a party in a family law dispute.</w:t>
            </w:r>
            <w:r w:rsidRPr="0088082D">
              <w:rPr>
                <w:sz w:val="20"/>
              </w:rPr>
              <w:t xml:space="preserve"> </w:t>
            </w:r>
            <w:r w:rsidRPr="0088082D">
              <w:rPr>
                <w:sz w:val="20"/>
                <w:lang w:val="en" w:eastAsia="en-CA"/>
              </w:rPr>
              <w:t>The application judge concluded that by failing to adequately monitor and assess the merits of the defence it was funding, LAO engaged in an abuse of process. The Court of Appeal allowed the appeal and set aside that award of costs.</w:t>
            </w:r>
          </w:p>
        </w:tc>
      </w:tr>
      <w:tr w:rsidR="0088648B" w:rsidRPr="0088082D" w:rsidTr="00E95A6A">
        <w:tc>
          <w:tcPr>
            <w:tcW w:w="5000" w:type="pct"/>
            <w:gridSpan w:val="4"/>
          </w:tcPr>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April 17, 2018</w:t>
            </w:r>
          </w:p>
          <w:p w:rsidR="0088648B" w:rsidRPr="0088082D" w:rsidRDefault="0088648B" w:rsidP="006C75A6">
            <w:pPr>
              <w:jc w:val="both"/>
              <w:rPr>
                <w:sz w:val="20"/>
              </w:rPr>
            </w:pPr>
            <w:r w:rsidRPr="0088082D">
              <w:rPr>
                <w:sz w:val="20"/>
              </w:rPr>
              <w:t>Ontario Superior Court of Justice</w:t>
            </w:r>
          </w:p>
          <w:p w:rsidR="0088648B" w:rsidRPr="0088082D" w:rsidRDefault="0088648B" w:rsidP="006C75A6">
            <w:pPr>
              <w:jc w:val="both"/>
              <w:rPr>
                <w:sz w:val="20"/>
              </w:rPr>
            </w:pPr>
            <w:r w:rsidRPr="0088082D">
              <w:rPr>
                <w:sz w:val="20"/>
              </w:rPr>
              <w:t>(Koke J.)</w:t>
            </w:r>
          </w:p>
          <w:p w:rsidR="0088648B" w:rsidRPr="0088082D" w:rsidRDefault="0088082D" w:rsidP="006C75A6">
            <w:pPr>
              <w:jc w:val="both"/>
              <w:rPr>
                <w:sz w:val="20"/>
              </w:rPr>
            </w:pPr>
            <w:hyperlink r:id="rId25" w:history="1">
              <w:r w:rsidR="0088648B" w:rsidRPr="0088082D">
                <w:rPr>
                  <w:rStyle w:val="Hyperlink"/>
                  <w:sz w:val="20"/>
                </w:rPr>
                <w:t>2018 ONSC 2133</w:t>
              </w:r>
            </w:hyperlink>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 xml:space="preserve">Legal Aid Ontario ordered to pay costs to Mr. Hunt in the amount of $192, 639.77, being 50 percent of the full indemnity costs awarded against the respondent, Ms. Worrod.  </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June 27, 2019</w:t>
            </w:r>
          </w:p>
          <w:p w:rsidR="0088648B" w:rsidRPr="0088082D" w:rsidRDefault="0088648B" w:rsidP="006C75A6">
            <w:pPr>
              <w:jc w:val="both"/>
              <w:rPr>
                <w:sz w:val="20"/>
              </w:rPr>
            </w:pPr>
            <w:r w:rsidRPr="0088082D">
              <w:rPr>
                <w:sz w:val="20"/>
              </w:rPr>
              <w:t>Court of Appeal for Ontario</w:t>
            </w:r>
          </w:p>
          <w:p w:rsidR="0088648B" w:rsidRPr="0088082D" w:rsidRDefault="0088648B" w:rsidP="006C75A6">
            <w:pPr>
              <w:jc w:val="both"/>
              <w:rPr>
                <w:sz w:val="20"/>
              </w:rPr>
            </w:pPr>
            <w:r w:rsidRPr="0088082D">
              <w:rPr>
                <w:sz w:val="20"/>
              </w:rPr>
              <w:t>(Sharpe, Pepall and Roberts JJ.A.)</w:t>
            </w:r>
          </w:p>
          <w:p w:rsidR="0088648B" w:rsidRPr="0088082D" w:rsidRDefault="0088082D" w:rsidP="006C75A6">
            <w:pPr>
              <w:jc w:val="both"/>
              <w:rPr>
                <w:sz w:val="20"/>
              </w:rPr>
            </w:pPr>
            <w:hyperlink r:id="rId26" w:history="1">
              <w:r w:rsidR="0088648B" w:rsidRPr="0088082D">
                <w:rPr>
                  <w:rStyle w:val="Hyperlink"/>
                  <w:sz w:val="20"/>
                </w:rPr>
                <w:t>2019 ONCA 540</w:t>
              </w:r>
            </w:hyperlink>
          </w:p>
          <w:p w:rsidR="0088648B" w:rsidRPr="0088082D" w:rsidRDefault="0088648B" w:rsidP="006C75A6">
            <w:pPr>
              <w:jc w:val="both"/>
              <w:rPr>
                <w:sz w:val="20"/>
              </w:rPr>
            </w:pPr>
            <w:r w:rsidRPr="0088082D">
              <w:rPr>
                <w:sz w:val="20"/>
              </w:rPr>
              <w:t>File No.: M49150 (C65477)</w:t>
            </w:r>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Appeal allowed; lower court costs order against Legal Aid Ontario set aside. Motion for leave to appeal dismissed.</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September 26, 2019</w:t>
            </w:r>
          </w:p>
          <w:p w:rsidR="0088648B" w:rsidRPr="0088082D" w:rsidRDefault="0088648B" w:rsidP="006C75A6">
            <w:pPr>
              <w:jc w:val="both"/>
              <w:rPr>
                <w:sz w:val="20"/>
              </w:rPr>
            </w:pPr>
            <w:r w:rsidRPr="0088082D">
              <w:rPr>
                <w:sz w:val="20"/>
              </w:rPr>
              <w:t>Supreme Court of Canada</w:t>
            </w: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Application for leave to appeal filed.</w:t>
            </w:r>
          </w:p>
          <w:p w:rsidR="0088648B" w:rsidRPr="0088082D" w:rsidRDefault="0088648B" w:rsidP="006C75A6">
            <w:pPr>
              <w:jc w:val="both"/>
              <w:rPr>
                <w:sz w:val="20"/>
              </w:rPr>
            </w:pPr>
          </w:p>
        </w:tc>
      </w:tr>
    </w:tbl>
    <w:p w:rsidR="0088648B" w:rsidRPr="0088082D" w:rsidRDefault="0088648B" w:rsidP="006C75A6">
      <w:pPr>
        <w:jc w:val="both"/>
        <w:rPr>
          <w:sz w:val="20"/>
        </w:rPr>
      </w:pPr>
    </w:p>
    <w:p w:rsidR="0088648B" w:rsidRPr="0088082D" w:rsidRDefault="0088082D" w:rsidP="006C75A6">
      <w:pPr>
        <w:jc w:val="both"/>
        <w:rPr>
          <w:sz w:val="20"/>
        </w:rPr>
      </w:pPr>
      <w:r w:rsidRPr="0088082D">
        <w:rPr>
          <w:sz w:val="20"/>
        </w:rPr>
        <w:pict>
          <v:rect id="_x0000_i1035" style="width:2in;height:1pt" o:hrpct="0" o:hralign="center" o:hrstd="t" o:hrnoshade="t" o:hr="t" fillcolor="black [3213]" stroked="f"/>
        </w:pict>
      </w:r>
    </w:p>
    <w:p w:rsidR="0088648B" w:rsidRPr="0088082D" w:rsidRDefault="0088648B" w:rsidP="006C75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lang w:val="fr-CA"/>
              </w:rPr>
            </w:pPr>
            <w:r w:rsidRPr="0088082D">
              <w:rPr>
                <w:rStyle w:val="SCCFileNumberChar"/>
                <w:sz w:val="20"/>
                <w:szCs w:val="20"/>
                <w:lang w:val="fr-CA"/>
              </w:rPr>
              <w:t>38822</w:t>
            </w:r>
          </w:p>
        </w:tc>
        <w:tc>
          <w:tcPr>
            <w:tcW w:w="4457" w:type="pct"/>
            <w:gridSpan w:val="3"/>
          </w:tcPr>
          <w:p w:rsidR="0088648B" w:rsidRPr="0088082D" w:rsidRDefault="0088648B" w:rsidP="006C75A6">
            <w:pPr>
              <w:pStyle w:val="SCCLsocParty"/>
              <w:jc w:val="both"/>
              <w:rPr>
                <w:b/>
                <w:sz w:val="20"/>
                <w:szCs w:val="20"/>
              </w:rPr>
            </w:pPr>
            <w:r w:rsidRPr="0088082D">
              <w:rPr>
                <w:b/>
                <w:sz w:val="20"/>
                <w:szCs w:val="20"/>
              </w:rPr>
              <w:t xml:space="preserve">Kim Kevin Hunt, par ses tuteurs à l’instance Bradley James Hunt et Justin Abraham Hunt c. Kathleen A. Worrod, D. Andrew Thomson et Aide </w:t>
            </w:r>
            <w:r w:rsidR="00473C3A" w:rsidRPr="0088082D">
              <w:rPr>
                <w:b/>
                <w:sz w:val="20"/>
                <w:szCs w:val="20"/>
              </w:rPr>
              <w:t>J</w:t>
            </w:r>
            <w:r w:rsidRPr="0088082D">
              <w:rPr>
                <w:b/>
                <w:sz w:val="20"/>
                <w:szCs w:val="20"/>
              </w:rPr>
              <w:t>uridique Ontario</w:t>
            </w:r>
          </w:p>
          <w:p w:rsidR="0088648B" w:rsidRPr="0088082D" w:rsidRDefault="0088648B" w:rsidP="006C75A6">
            <w:pPr>
              <w:jc w:val="both"/>
              <w:rPr>
                <w:sz w:val="20"/>
                <w:lang w:val="fr-CA"/>
              </w:rPr>
            </w:pPr>
            <w:r w:rsidRPr="0088082D">
              <w:rPr>
                <w:sz w:val="20"/>
                <w:lang w:val="fr-CA"/>
              </w:rPr>
              <w:t>(Ont.) (Civile) (Autorisation)</w:t>
            </w:r>
          </w:p>
        </w:tc>
      </w:tr>
      <w:tr w:rsidR="0088648B" w:rsidRPr="0088082D" w:rsidTr="00E95A6A">
        <w:tc>
          <w:tcPr>
            <w:tcW w:w="5000" w:type="pct"/>
            <w:gridSpan w:val="4"/>
          </w:tcPr>
          <w:p w:rsidR="0088648B" w:rsidRPr="0088082D" w:rsidRDefault="0088648B" w:rsidP="006C75A6">
            <w:pPr>
              <w:jc w:val="both"/>
              <w:rPr>
                <w:sz w:val="20"/>
                <w:lang w:val="fr-CA"/>
              </w:rPr>
            </w:pPr>
            <w:r w:rsidRPr="0088082D">
              <w:rPr>
                <w:sz w:val="20"/>
                <w:lang w:val="fr-CA"/>
              </w:rPr>
              <w:lastRenderedPageBreak/>
              <w:t>Procédure civile — Dépens — Tiers non partie à l’instance — Aide juridique Ontario a financé une partie à un différend de droit de la famille — Le juge des requêtes a conclu qu’Aide juridique Ontario avait omis de contrôler et d’évaluer le bien-fondé de la défense qu’elle finançait et a condamné Aide juridique Ontario à des dépens — La Cour d’appel de l’Ontario a accueilli l’appel et a annulé la condamnation aux dépens — La Cour d’appel de l’Ontario a</w:t>
            </w:r>
            <w:r w:rsidRPr="0088082D">
              <w:rPr>
                <w:sz w:val="20"/>
                <w:lang w:val="fr-CA"/>
              </w:rPr>
              <w:noBreakHyphen/>
              <w:t>t</w:t>
            </w:r>
            <w:r w:rsidRPr="0088082D">
              <w:rPr>
                <w:sz w:val="20"/>
                <w:lang w:val="fr-CA"/>
              </w:rPr>
              <w:noBreakHyphen/>
              <w:t>elle eu tort d’infirmer la décision quant aux dépens en vertu de laquelle Aide juridique de l’Ontario, un tiers non partie à l’instance, a été condamné à payer les dépens à une partie vulnérable qui a eu gain de cause au procès.</w:t>
            </w:r>
          </w:p>
          <w:p w:rsidR="0088648B" w:rsidRPr="0088082D" w:rsidRDefault="0088648B" w:rsidP="006C75A6">
            <w:pPr>
              <w:jc w:val="both"/>
              <w:rPr>
                <w:sz w:val="20"/>
                <w:lang w:val="fr-CA"/>
              </w:rPr>
            </w:pPr>
          </w:p>
        </w:tc>
      </w:tr>
      <w:tr w:rsidR="0088648B" w:rsidRPr="0088082D" w:rsidTr="00E95A6A">
        <w:tc>
          <w:tcPr>
            <w:tcW w:w="5000" w:type="pct"/>
            <w:gridSpan w:val="4"/>
          </w:tcPr>
          <w:p w:rsidR="0088648B" w:rsidRPr="0088082D" w:rsidRDefault="0088648B" w:rsidP="006C75A6">
            <w:pPr>
              <w:jc w:val="both"/>
              <w:rPr>
                <w:sz w:val="20"/>
                <w:lang w:val="fr-CA"/>
              </w:rPr>
            </w:pPr>
            <w:r w:rsidRPr="0088082D">
              <w:rPr>
                <w:sz w:val="20"/>
                <w:lang w:val="fr-CA"/>
              </w:rPr>
              <w:t>La présente affaire concerne un jugement condamnant aux dépens de 192 639,77 $ un tiers non partie à l’instance, Aide juridique Ontario (« AJO »), pour son rôle dans le financement d’un différend de droit de la famille. Le juge des requêtes a conclu qu’en omettant de contrôler et d’évaluer adéquatement le bien-fondé de la défense qu’il finançait, AJO avait commis un abus de procédure</w:t>
            </w:r>
            <w:r w:rsidRPr="0088082D">
              <w:rPr>
                <w:sz w:val="20"/>
                <w:lang w:val="fr-CA" w:eastAsia="en-CA"/>
              </w:rPr>
              <w:t>. La Cour d’appel a accueilli l’appel et a annulé la condamnation aux dépens.</w:t>
            </w:r>
          </w:p>
        </w:tc>
      </w:tr>
      <w:tr w:rsidR="0088648B" w:rsidRPr="0088082D" w:rsidTr="00E95A6A">
        <w:tc>
          <w:tcPr>
            <w:tcW w:w="5000" w:type="pct"/>
            <w:gridSpan w:val="4"/>
          </w:tcPr>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17 avril 2018</w:t>
            </w:r>
          </w:p>
          <w:p w:rsidR="0088648B" w:rsidRPr="0088082D" w:rsidRDefault="0088648B" w:rsidP="006C75A6">
            <w:pPr>
              <w:jc w:val="both"/>
              <w:rPr>
                <w:sz w:val="20"/>
                <w:lang w:val="fr-CA"/>
              </w:rPr>
            </w:pPr>
            <w:r w:rsidRPr="0088082D">
              <w:rPr>
                <w:sz w:val="20"/>
                <w:lang w:val="fr-CA"/>
              </w:rPr>
              <w:t>Cour supérieure de justice de l’Ontario</w:t>
            </w:r>
          </w:p>
          <w:p w:rsidR="0088648B" w:rsidRPr="0088082D" w:rsidRDefault="0088648B" w:rsidP="006C75A6">
            <w:pPr>
              <w:jc w:val="both"/>
              <w:rPr>
                <w:sz w:val="20"/>
                <w:lang w:val="fr-CA"/>
              </w:rPr>
            </w:pPr>
            <w:r w:rsidRPr="0088082D">
              <w:rPr>
                <w:sz w:val="20"/>
                <w:lang w:val="fr-CA"/>
              </w:rPr>
              <w:t>(Juge Koke)</w:t>
            </w:r>
          </w:p>
          <w:p w:rsidR="0088648B" w:rsidRPr="0088082D" w:rsidRDefault="0088082D" w:rsidP="006C75A6">
            <w:pPr>
              <w:jc w:val="both"/>
              <w:rPr>
                <w:sz w:val="20"/>
                <w:lang w:val="fr-CA"/>
              </w:rPr>
            </w:pPr>
            <w:hyperlink r:id="rId27" w:history="1">
              <w:r w:rsidR="0088648B" w:rsidRPr="0088082D">
                <w:rPr>
                  <w:rStyle w:val="Hyperlink"/>
                  <w:sz w:val="20"/>
                  <w:lang w:val="fr-CA"/>
                </w:rPr>
                <w:t>2018 ONSC 2133</w:t>
              </w:r>
            </w:hyperlink>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Jugement condamnant Aide juridique Ontario à payer M. Hunt des dépens de 192 639,77 $, c’est</w:t>
            </w:r>
            <w:r w:rsidRPr="0088082D">
              <w:rPr>
                <w:sz w:val="20"/>
                <w:lang w:val="fr-CA"/>
              </w:rPr>
              <w:noBreakHyphen/>
              <w:t>à</w:t>
            </w:r>
            <w:r w:rsidRPr="0088082D">
              <w:rPr>
                <w:sz w:val="20"/>
                <w:lang w:val="fr-CA"/>
              </w:rPr>
              <w:noBreakHyphen/>
              <w:t>dire 50 pour cent des dépens d’indemnisation intégrale auxquels l’intimée, Mme Worrod, a été condamnée.</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27 juin 2019</w:t>
            </w:r>
          </w:p>
          <w:p w:rsidR="0088648B" w:rsidRPr="0088082D" w:rsidRDefault="0088648B" w:rsidP="006C75A6">
            <w:pPr>
              <w:jc w:val="both"/>
              <w:rPr>
                <w:sz w:val="20"/>
                <w:lang w:val="fr-CA"/>
              </w:rPr>
            </w:pPr>
            <w:r w:rsidRPr="0088082D">
              <w:rPr>
                <w:sz w:val="20"/>
                <w:lang w:val="fr-CA"/>
              </w:rPr>
              <w:t>Cour d’appel de l’Ontario</w:t>
            </w:r>
          </w:p>
          <w:p w:rsidR="0088648B" w:rsidRPr="0088082D" w:rsidRDefault="0088648B" w:rsidP="006C75A6">
            <w:pPr>
              <w:jc w:val="both"/>
              <w:rPr>
                <w:sz w:val="20"/>
                <w:lang w:val="fr-CA"/>
              </w:rPr>
            </w:pPr>
            <w:r w:rsidRPr="0088082D">
              <w:rPr>
                <w:sz w:val="20"/>
                <w:lang w:val="fr-CA"/>
              </w:rPr>
              <w:t>(Juges Sharpe, Pepall et Roberts)</w:t>
            </w:r>
          </w:p>
          <w:p w:rsidR="0088648B" w:rsidRPr="0088082D" w:rsidRDefault="0088082D" w:rsidP="006C75A6">
            <w:pPr>
              <w:jc w:val="both"/>
              <w:rPr>
                <w:sz w:val="20"/>
                <w:lang w:val="fr-CA"/>
              </w:rPr>
            </w:pPr>
            <w:hyperlink r:id="rId28" w:history="1">
              <w:r w:rsidR="0088648B" w:rsidRPr="0088082D">
                <w:rPr>
                  <w:rStyle w:val="Hyperlink"/>
                  <w:sz w:val="20"/>
                  <w:lang w:val="fr-CA"/>
                </w:rPr>
                <w:t>2019 ONCA 540</w:t>
              </w:r>
            </w:hyperlink>
          </w:p>
          <w:p w:rsidR="0088648B" w:rsidRPr="0088082D" w:rsidRDefault="0088648B" w:rsidP="006C75A6">
            <w:pPr>
              <w:jc w:val="both"/>
              <w:rPr>
                <w:sz w:val="20"/>
                <w:lang w:val="fr-CA"/>
              </w:rPr>
            </w:pPr>
            <w:r w:rsidRPr="0088082D">
              <w:rPr>
                <w:sz w:val="20"/>
                <w:lang w:val="fr-CA"/>
              </w:rPr>
              <w:t>N</w:t>
            </w:r>
            <w:r w:rsidRPr="0088082D">
              <w:rPr>
                <w:sz w:val="20"/>
                <w:vertAlign w:val="superscript"/>
                <w:lang w:val="fr-CA"/>
              </w:rPr>
              <w:t>o</w:t>
            </w:r>
            <w:r w:rsidRPr="0088082D">
              <w:rPr>
                <w:sz w:val="20"/>
                <w:lang w:val="fr-CA"/>
              </w:rPr>
              <w:t xml:space="preserve"> de dossier : M49150 (C65477)</w:t>
            </w:r>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Arrêt accueillant l’appel, annulant la condamnation aux dépens contre Aide juridique Ontario prononcée par la juridiction inférieure et rejetant la motion en autorisation d’interjeter appel.</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26 septembre 2019</w:t>
            </w:r>
          </w:p>
          <w:p w:rsidR="0088648B" w:rsidRPr="0088082D" w:rsidRDefault="0088648B" w:rsidP="006C75A6">
            <w:pPr>
              <w:jc w:val="both"/>
              <w:rPr>
                <w:sz w:val="20"/>
                <w:lang w:val="fr-CA"/>
              </w:rPr>
            </w:pPr>
            <w:r w:rsidRPr="0088082D">
              <w:rPr>
                <w:sz w:val="20"/>
                <w:lang w:val="fr-CA"/>
              </w:rPr>
              <w:t>Cour suprême du Canada</w:t>
            </w: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Dépôt de la demande d’autorisation d’appel.</w:t>
            </w:r>
          </w:p>
          <w:p w:rsidR="0088648B" w:rsidRPr="0088082D" w:rsidRDefault="0088648B" w:rsidP="006C75A6">
            <w:pPr>
              <w:jc w:val="both"/>
              <w:rPr>
                <w:sz w:val="20"/>
                <w:lang w:val="fr-CA"/>
              </w:rPr>
            </w:pPr>
          </w:p>
        </w:tc>
      </w:tr>
    </w:tbl>
    <w:p w:rsidR="0088648B" w:rsidRPr="0088082D" w:rsidRDefault="0088648B" w:rsidP="006C75A6">
      <w:pPr>
        <w:jc w:val="both"/>
        <w:rPr>
          <w:sz w:val="20"/>
          <w:lang w:val="fr-CA"/>
        </w:rPr>
      </w:pPr>
    </w:p>
    <w:p w:rsidR="0088648B" w:rsidRPr="0088082D" w:rsidRDefault="0088082D" w:rsidP="006C75A6">
      <w:pPr>
        <w:ind w:left="142" w:hanging="142"/>
        <w:jc w:val="both"/>
        <w:rPr>
          <w:sz w:val="20"/>
          <w:lang w:val="fr-CA"/>
        </w:rPr>
      </w:pPr>
      <w:r w:rsidRPr="0088082D">
        <w:rPr>
          <w:sz w:val="20"/>
        </w:rPr>
        <w:pict>
          <v:rect id="_x0000_i1036" style="width:2in;height:1pt" o:hrpct="0" o:hralign="center" o:hrstd="t" o:hrnoshade="t" o:hr="t" fillcolor="black [3213]" stroked="f"/>
        </w:pict>
      </w:r>
    </w:p>
    <w:p w:rsidR="0088648B" w:rsidRPr="0088082D" w:rsidRDefault="0088648B" w:rsidP="006C75A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rPr>
            </w:pPr>
            <w:r w:rsidRPr="0088082D">
              <w:rPr>
                <w:rStyle w:val="SCCFileNumberChar"/>
                <w:sz w:val="20"/>
                <w:szCs w:val="20"/>
              </w:rPr>
              <w:t>38787</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CIBC World Markets Inc./Marches Mondiaux CIBC Inc., carrying on business as CIBC Wood Gundy v. Gayle Crooks, Archie Gillis, Karen McGrath</w:t>
            </w:r>
          </w:p>
          <w:p w:rsidR="0088648B" w:rsidRPr="0088082D" w:rsidRDefault="0088648B" w:rsidP="006C75A6">
            <w:pPr>
              <w:jc w:val="both"/>
              <w:rPr>
                <w:sz w:val="20"/>
              </w:rPr>
            </w:pPr>
            <w:r w:rsidRPr="0088082D">
              <w:rPr>
                <w:sz w:val="20"/>
              </w:rPr>
              <w:t>(N.S.) (Civil) (By Leave)</w:t>
            </w:r>
          </w:p>
        </w:tc>
      </w:tr>
      <w:tr w:rsidR="0088648B" w:rsidRPr="0088082D" w:rsidTr="00E95A6A">
        <w:tc>
          <w:tcPr>
            <w:tcW w:w="5000" w:type="pct"/>
            <w:gridSpan w:val="4"/>
          </w:tcPr>
          <w:p w:rsidR="0088648B" w:rsidRPr="0088082D" w:rsidRDefault="0088648B" w:rsidP="006C75A6">
            <w:pPr>
              <w:jc w:val="both"/>
              <w:rPr>
                <w:sz w:val="20"/>
              </w:rPr>
            </w:pPr>
            <w:r w:rsidRPr="0088082D">
              <w:rPr>
                <w:sz w:val="20"/>
              </w:rPr>
              <w:t xml:space="preserve">Civil Procedure — Class Actions — Certification </w:t>
            </w:r>
            <w:r w:rsidRPr="0088082D">
              <w:rPr>
                <w:sz w:val="20"/>
                <w:lang w:val="en"/>
              </w:rPr>
              <w:t xml:space="preserve">— Court of Appeal setting aside order </w:t>
            </w:r>
            <w:r w:rsidRPr="0088082D">
              <w:rPr>
                <w:sz w:val="20"/>
              </w:rPr>
              <w:t xml:space="preserve">decertifying the action as a class proceeding — Whether the law on decertification of class proceedings needs to be clarified and raises an issue of public importance — What is the proper role for decertification in class proceedings legislation — What is the applicable framework for a court to apply in deciding a decertification motion — </w:t>
            </w:r>
            <w:r w:rsidRPr="0088082D">
              <w:rPr>
                <w:i/>
                <w:sz w:val="20"/>
                <w:lang w:val="en"/>
              </w:rPr>
              <w:t>Class Proceedings Act</w:t>
            </w:r>
            <w:r w:rsidRPr="0088082D">
              <w:rPr>
                <w:sz w:val="20"/>
                <w:lang w:val="en"/>
              </w:rPr>
              <w:t>, S.N.S. 2007, c. 28.</w:t>
            </w:r>
          </w:p>
        </w:tc>
      </w:tr>
      <w:tr w:rsidR="0088648B" w:rsidRPr="0088082D" w:rsidTr="00E95A6A">
        <w:tc>
          <w:tcPr>
            <w:tcW w:w="5000" w:type="pct"/>
            <w:gridSpan w:val="4"/>
          </w:tcPr>
          <w:p w:rsidR="0088648B" w:rsidRPr="0088082D" w:rsidRDefault="0088648B" w:rsidP="006C75A6">
            <w:pPr>
              <w:jc w:val="both"/>
              <w:rPr>
                <w:sz w:val="20"/>
              </w:rPr>
            </w:pPr>
          </w:p>
          <w:p w:rsidR="0088648B" w:rsidRPr="0088082D" w:rsidRDefault="0088648B" w:rsidP="006C75A6">
            <w:pPr>
              <w:jc w:val="both"/>
              <w:rPr>
                <w:sz w:val="20"/>
                <w:lang w:val="en"/>
              </w:rPr>
            </w:pPr>
            <w:r w:rsidRPr="0088082D">
              <w:rPr>
                <w:sz w:val="20"/>
                <w:lang w:val="en"/>
              </w:rPr>
              <w:t xml:space="preserve">The respondents were clients of the applicant who were involved in trading options on the advice of their investment advisor. The respondents commenced a proposed class proceeding as a result of the losses they suffered due to a calculation error. The respondents’ action was certified as a class proceeding. Next, the applicant made admissions regarding some of the common issues. The action was decertified as a class proceeding. The appeal was allowed, setting aside the </w:t>
            </w:r>
            <w:r w:rsidRPr="0088082D">
              <w:rPr>
                <w:sz w:val="20"/>
              </w:rPr>
              <w:t>portion of the order which decertified the action of a class proceeding.</w:t>
            </w:r>
          </w:p>
        </w:tc>
      </w:tr>
      <w:tr w:rsidR="0088648B" w:rsidRPr="0088082D" w:rsidTr="00E95A6A">
        <w:tc>
          <w:tcPr>
            <w:tcW w:w="5000" w:type="pct"/>
            <w:gridSpan w:val="4"/>
          </w:tcPr>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May 27, 2016</w:t>
            </w:r>
          </w:p>
          <w:p w:rsidR="0088648B" w:rsidRPr="0088082D" w:rsidRDefault="0088648B" w:rsidP="006C75A6">
            <w:pPr>
              <w:jc w:val="both"/>
              <w:rPr>
                <w:sz w:val="20"/>
              </w:rPr>
            </w:pPr>
            <w:r w:rsidRPr="0088082D">
              <w:rPr>
                <w:sz w:val="20"/>
              </w:rPr>
              <w:t>Supreme Court of Nova Scotia, Trial Division</w:t>
            </w:r>
          </w:p>
          <w:p w:rsidR="0088648B" w:rsidRPr="0088082D" w:rsidRDefault="0088648B" w:rsidP="006C75A6">
            <w:pPr>
              <w:jc w:val="both"/>
              <w:rPr>
                <w:sz w:val="20"/>
              </w:rPr>
            </w:pPr>
            <w:r w:rsidRPr="0088082D">
              <w:rPr>
                <w:sz w:val="20"/>
              </w:rPr>
              <w:t>(Duncan J.)</w:t>
            </w:r>
          </w:p>
          <w:p w:rsidR="0088648B" w:rsidRPr="0088082D" w:rsidRDefault="0088082D" w:rsidP="006C75A6">
            <w:pPr>
              <w:jc w:val="both"/>
              <w:rPr>
                <w:sz w:val="20"/>
              </w:rPr>
            </w:pPr>
            <w:hyperlink r:id="rId29" w:history="1">
              <w:r w:rsidR="0088648B" w:rsidRPr="0088082D">
                <w:rPr>
                  <w:rStyle w:val="Hyperlink"/>
                  <w:sz w:val="20"/>
                </w:rPr>
                <w:t>2016 NSSC 145</w:t>
              </w:r>
            </w:hyperlink>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Action decertified as a class proceeding</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March 20, 2017</w:t>
            </w:r>
          </w:p>
          <w:p w:rsidR="0088648B" w:rsidRPr="0088082D" w:rsidRDefault="0088648B" w:rsidP="006C75A6">
            <w:pPr>
              <w:jc w:val="both"/>
              <w:rPr>
                <w:sz w:val="20"/>
              </w:rPr>
            </w:pPr>
            <w:r w:rsidRPr="0088082D">
              <w:rPr>
                <w:sz w:val="20"/>
              </w:rPr>
              <w:t>Supreme Court of Nova Scotia, Trial Division</w:t>
            </w:r>
          </w:p>
          <w:p w:rsidR="0088648B" w:rsidRPr="0088082D" w:rsidRDefault="0088648B" w:rsidP="006C75A6">
            <w:pPr>
              <w:jc w:val="both"/>
              <w:rPr>
                <w:sz w:val="20"/>
              </w:rPr>
            </w:pPr>
            <w:r w:rsidRPr="0088082D">
              <w:rPr>
                <w:sz w:val="20"/>
              </w:rPr>
              <w:t>(Duncan J.)</w:t>
            </w:r>
          </w:p>
          <w:p w:rsidR="0088648B" w:rsidRPr="0088082D" w:rsidRDefault="0088082D" w:rsidP="006C75A6">
            <w:pPr>
              <w:jc w:val="both"/>
              <w:rPr>
                <w:sz w:val="20"/>
              </w:rPr>
            </w:pPr>
            <w:hyperlink r:id="rId30" w:history="1">
              <w:r w:rsidR="0088648B" w:rsidRPr="0088082D">
                <w:rPr>
                  <w:rStyle w:val="Hyperlink"/>
                  <w:sz w:val="20"/>
                </w:rPr>
                <w:t>2017 NSSC 75</w:t>
              </w:r>
            </w:hyperlink>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Supplemental reasons rendered</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May 31, 2019</w:t>
            </w:r>
          </w:p>
          <w:p w:rsidR="0088648B" w:rsidRPr="0088082D" w:rsidRDefault="0088648B" w:rsidP="006C75A6">
            <w:pPr>
              <w:jc w:val="both"/>
              <w:rPr>
                <w:sz w:val="20"/>
              </w:rPr>
            </w:pPr>
            <w:r w:rsidRPr="0088082D">
              <w:rPr>
                <w:sz w:val="20"/>
              </w:rPr>
              <w:t>Nova Scotia Court of Appeal</w:t>
            </w:r>
          </w:p>
          <w:p w:rsidR="0088648B" w:rsidRPr="0088082D" w:rsidRDefault="0088648B" w:rsidP="006C75A6">
            <w:pPr>
              <w:jc w:val="both"/>
              <w:rPr>
                <w:sz w:val="20"/>
              </w:rPr>
            </w:pPr>
            <w:r w:rsidRPr="0088082D">
              <w:rPr>
                <w:sz w:val="20"/>
              </w:rPr>
              <w:t>(Farrar, Van den Eynden, Derrick JJ.A.)</w:t>
            </w:r>
          </w:p>
          <w:p w:rsidR="0088648B" w:rsidRPr="0088082D" w:rsidRDefault="0088648B" w:rsidP="006C75A6">
            <w:pPr>
              <w:jc w:val="both"/>
              <w:rPr>
                <w:sz w:val="20"/>
              </w:rPr>
            </w:pPr>
            <w:r w:rsidRPr="0088082D">
              <w:rPr>
                <w:sz w:val="20"/>
              </w:rPr>
              <w:t>CA462245</w:t>
            </w:r>
          </w:p>
          <w:p w:rsidR="0088648B" w:rsidRPr="0088082D" w:rsidRDefault="0088082D" w:rsidP="006C75A6">
            <w:pPr>
              <w:jc w:val="both"/>
              <w:rPr>
                <w:sz w:val="20"/>
              </w:rPr>
            </w:pPr>
            <w:hyperlink r:id="rId31" w:history="1">
              <w:r w:rsidR="0088648B" w:rsidRPr="0088082D">
                <w:rPr>
                  <w:rStyle w:val="Hyperlink"/>
                  <w:sz w:val="20"/>
                </w:rPr>
                <w:t>2019 NSCA 46</w:t>
              </w:r>
            </w:hyperlink>
          </w:p>
          <w:p w:rsidR="0088648B" w:rsidRPr="0088082D" w:rsidRDefault="0088648B" w:rsidP="006C75A6">
            <w:pPr>
              <w:jc w:val="both"/>
              <w:rPr>
                <w:sz w:val="20"/>
              </w:rPr>
            </w:pP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Appeal allowed: portion of the order which decertifies the action of a class proceeding set aside with fixed costs</w:t>
            </w:r>
          </w:p>
          <w:p w:rsidR="0088648B" w:rsidRPr="0088082D" w:rsidRDefault="0088648B" w:rsidP="006C75A6">
            <w:pPr>
              <w:jc w:val="both"/>
              <w:rPr>
                <w:sz w:val="20"/>
              </w:rPr>
            </w:pPr>
          </w:p>
        </w:tc>
      </w:tr>
      <w:tr w:rsidR="0088648B" w:rsidRPr="0088082D" w:rsidTr="00E95A6A">
        <w:tc>
          <w:tcPr>
            <w:tcW w:w="2427" w:type="pct"/>
            <w:gridSpan w:val="2"/>
          </w:tcPr>
          <w:p w:rsidR="0088648B" w:rsidRPr="0088082D" w:rsidRDefault="0088648B" w:rsidP="006C75A6">
            <w:pPr>
              <w:jc w:val="both"/>
              <w:rPr>
                <w:sz w:val="20"/>
              </w:rPr>
            </w:pPr>
            <w:r w:rsidRPr="0088082D">
              <w:rPr>
                <w:sz w:val="20"/>
              </w:rPr>
              <w:t>August 29, 2019</w:t>
            </w:r>
          </w:p>
          <w:p w:rsidR="0088648B" w:rsidRPr="0088082D" w:rsidRDefault="0088648B" w:rsidP="006C75A6">
            <w:pPr>
              <w:jc w:val="both"/>
              <w:rPr>
                <w:sz w:val="20"/>
              </w:rPr>
            </w:pPr>
            <w:r w:rsidRPr="0088082D">
              <w:rPr>
                <w:sz w:val="20"/>
              </w:rPr>
              <w:t>Supreme Court of Canada</w:t>
            </w:r>
          </w:p>
        </w:tc>
        <w:tc>
          <w:tcPr>
            <w:tcW w:w="243" w:type="pct"/>
          </w:tcPr>
          <w:p w:rsidR="0088648B" w:rsidRPr="0088082D" w:rsidRDefault="0088648B" w:rsidP="006C75A6">
            <w:pPr>
              <w:jc w:val="both"/>
              <w:rPr>
                <w:sz w:val="20"/>
              </w:rPr>
            </w:pPr>
          </w:p>
        </w:tc>
        <w:tc>
          <w:tcPr>
            <w:tcW w:w="2330" w:type="pct"/>
          </w:tcPr>
          <w:p w:rsidR="0088648B" w:rsidRPr="0088082D" w:rsidRDefault="0088648B" w:rsidP="006C75A6">
            <w:pPr>
              <w:jc w:val="both"/>
              <w:rPr>
                <w:sz w:val="20"/>
              </w:rPr>
            </w:pPr>
            <w:r w:rsidRPr="0088082D">
              <w:rPr>
                <w:sz w:val="20"/>
              </w:rPr>
              <w:t>Application for leave to appeal filed</w:t>
            </w:r>
          </w:p>
          <w:p w:rsidR="0088648B" w:rsidRPr="0088082D" w:rsidRDefault="0088648B" w:rsidP="006C75A6">
            <w:pPr>
              <w:jc w:val="both"/>
              <w:rPr>
                <w:sz w:val="20"/>
              </w:rPr>
            </w:pPr>
          </w:p>
        </w:tc>
      </w:tr>
    </w:tbl>
    <w:p w:rsidR="0088648B" w:rsidRPr="0088082D" w:rsidRDefault="0088648B" w:rsidP="006C75A6">
      <w:pPr>
        <w:jc w:val="both"/>
        <w:rPr>
          <w:sz w:val="20"/>
        </w:rPr>
      </w:pPr>
    </w:p>
    <w:p w:rsidR="00334BEC" w:rsidRPr="0088082D" w:rsidRDefault="0088082D" w:rsidP="006C75A6">
      <w:pPr>
        <w:ind w:left="142" w:hanging="142"/>
        <w:jc w:val="both"/>
        <w:rPr>
          <w:sz w:val="20"/>
        </w:rPr>
      </w:pPr>
      <w:r w:rsidRPr="0088082D">
        <w:rPr>
          <w:sz w:val="20"/>
        </w:rPr>
        <w:pict>
          <v:rect id="_x0000_i1037" style="width:2in;height:1pt" o:hrpct="0" o:hralign="center" o:hrstd="t" o:hrnoshade="t" o:hr="t" fillcolor="black [3213]" stroked="f"/>
        </w:pict>
      </w:r>
    </w:p>
    <w:p w:rsidR="00334BEC" w:rsidRPr="0088082D" w:rsidRDefault="00334BEC" w:rsidP="006C75A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648B" w:rsidRPr="0088082D" w:rsidTr="00E95A6A">
        <w:tc>
          <w:tcPr>
            <w:tcW w:w="543" w:type="pct"/>
          </w:tcPr>
          <w:p w:rsidR="0088648B" w:rsidRPr="0088082D" w:rsidRDefault="0088648B" w:rsidP="006C75A6">
            <w:pPr>
              <w:jc w:val="both"/>
              <w:rPr>
                <w:sz w:val="20"/>
                <w:lang w:val="fr-CA"/>
              </w:rPr>
            </w:pPr>
            <w:r w:rsidRPr="0088082D">
              <w:rPr>
                <w:rStyle w:val="SCCFileNumberChar"/>
                <w:sz w:val="20"/>
                <w:szCs w:val="20"/>
                <w:lang w:val="fr-CA"/>
              </w:rPr>
              <w:t>38787</w:t>
            </w:r>
          </w:p>
        </w:tc>
        <w:tc>
          <w:tcPr>
            <w:tcW w:w="4457" w:type="pct"/>
            <w:gridSpan w:val="3"/>
          </w:tcPr>
          <w:p w:rsidR="0088648B" w:rsidRPr="0088082D" w:rsidRDefault="0088648B" w:rsidP="006C75A6">
            <w:pPr>
              <w:pStyle w:val="SCCLsocParty"/>
              <w:jc w:val="both"/>
              <w:rPr>
                <w:b/>
                <w:sz w:val="20"/>
                <w:szCs w:val="20"/>
                <w:lang w:val="en-US"/>
              </w:rPr>
            </w:pPr>
            <w:r w:rsidRPr="0088082D">
              <w:rPr>
                <w:b/>
                <w:sz w:val="20"/>
                <w:szCs w:val="20"/>
                <w:lang w:val="en-US"/>
              </w:rPr>
              <w:t>CIBC World Markets Inc./March</w:t>
            </w:r>
            <w:r w:rsidR="00D96EC1" w:rsidRPr="0088082D">
              <w:rPr>
                <w:b/>
                <w:sz w:val="20"/>
                <w:szCs w:val="20"/>
                <w:lang w:val="en-US"/>
              </w:rPr>
              <w:t>e</w:t>
            </w:r>
            <w:r w:rsidRPr="0088082D">
              <w:rPr>
                <w:b/>
                <w:sz w:val="20"/>
                <w:szCs w:val="20"/>
                <w:lang w:val="en-US"/>
              </w:rPr>
              <w:t xml:space="preserve">s Mondiaux CIBC Inc., </w:t>
            </w:r>
            <w:r w:rsidR="001F2903" w:rsidRPr="0088082D">
              <w:rPr>
                <w:b/>
                <w:sz w:val="20"/>
                <w:szCs w:val="20"/>
                <w:lang w:val="en-US"/>
              </w:rPr>
              <w:t xml:space="preserve">carrying on business as </w:t>
            </w:r>
            <w:r w:rsidRPr="0088082D">
              <w:rPr>
                <w:b/>
                <w:sz w:val="20"/>
                <w:szCs w:val="20"/>
                <w:lang w:val="en-US"/>
              </w:rPr>
              <w:t>CIBC Wood Gundy c. Gayle Crooks, Archie Gillis, Karen McGrath</w:t>
            </w:r>
          </w:p>
          <w:p w:rsidR="0088648B" w:rsidRPr="0088082D" w:rsidRDefault="0088648B" w:rsidP="006C75A6">
            <w:pPr>
              <w:jc w:val="both"/>
              <w:rPr>
                <w:sz w:val="20"/>
                <w:lang w:val="fr-CA"/>
              </w:rPr>
            </w:pPr>
            <w:r w:rsidRPr="0088082D">
              <w:rPr>
                <w:sz w:val="20"/>
                <w:lang w:val="fr-CA"/>
              </w:rPr>
              <w:t>(N.</w:t>
            </w:r>
            <w:r w:rsidRPr="0088082D">
              <w:rPr>
                <w:sz w:val="20"/>
                <w:lang w:val="fr-CA"/>
              </w:rPr>
              <w:noBreakHyphen/>
              <w:t>É.) (Civile) (Autorisation)</w:t>
            </w:r>
          </w:p>
        </w:tc>
      </w:tr>
      <w:tr w:rsidR="0088648B" w:rsidRPr="0088082D" w:rsidTr="00E95A6A">
        <w:tc>
          <w:tcPr>
            <w:tcW w:w="5000" w:type="pct"/>
            <w:gridSpan w:val="4"/>
          </w:tcPr>
          <w:p w:rsidR="0088648B" w:rsidRPr="0088082D" w:rsidRDefault="0088648B" w:rsidP="006C75A6">
            <w:pPr>
              <w:jc w:val="both"/>
              <w:rPr>
                <w:sz w:val="20"/>
                <w:lang w:val="fr-CA"/>
              </w:rPr>
            </w:pPr>
            <w:r w:rsidRPr="0088082D">
              <w:rPr>
                <w:sz w:val="20"/>
                <w:lang w:val="fr-CA"/>
              </w:rPr>
              <w:t>Procédure civile — Recours collectifs — Certification — La Cour d’appel a annulé une ordonnance annulant la certification du recours collectif — Le droit relatif à l’annulation de la certification des recours collectifs doit</w:t>
            </w:r>
            <w:r w:rsidRPr="0088082D">
              <w:rPr>
                <w:sz w:val="20"/>
                <w:lang w:val="fr-CA"/>
              </w:rPr>
              <w:noBreakHyphen/>
              <w:t>il être clarifié et soulève</w:t>
            </w:r>
            <w:r w:rsidRPr="0088082D">
              <w:rPr>
                <w:sz w:val="20"/>
                <w:lang w:val="fr-CA"/>
              </w:rPr>
              <w:noBreakHyphen/>
              <w:t>t</w:t>
            </w:r>
            <w:r w:rsidRPr="0088082D">
              <w:rPr>
                <w:sz w:val="20"/>
                <w:lang w:val="fr-CA"/>
              </w:rPr>
              <w:noBreakHyphen/>
              <w:t xml:space="preserve">il une question d’importance pour le public? — Quel est le rôle approprié de l’annulation de la certification dans les lois sur les recours collectifs? — Quel cadre d’analyse doit appliquer le tribunal appelé à trancher une requête en annulation de certification? — </w:t>
            </w:r>
            <w:r w:rsidRPr="0088082D">
              <w:rPr>
                <w:i/>
                <w:sz w:val="20"/>
                <w:lang w:val="fr-CA"/>
              </w:rPr>
              <w:t>Class Proceedings Act</w:t>
            </w:r>
            <w:r w:rsidRPr="0088082D">
              <w:rPr>
                <w:sz w:val="20"/>
                <w:lang w:val="fr-CA"/>
              </w:rPr>
              <w:t>, S.N.S. 2007, c. 28.</w:t>
            </w:r>
          </w:p>
        </w:tc>
      </w:tr>
      <w:tr w:rsidR="0088648B" w:rsidRPr="0088082D" w:rsidTr="00E95A6A">
        <w:tc>
          <w:tcPr>
            <w:tcW w:w="5000" w:type="pct"/>
            <w:gridSpan w:val="4"/>
          </w:tcPr>
          <w:p w:rsidR="0088648B" w:rsidRPr="0088082D" w:rsidRDefault="0088648B" w:rsidP="006C75A6">
            <w:pPr>
              <w:jc w:val="both"/>
              <w:rPr>
                <w:sz w:val="20"/>
                <w:lang w:val="fr-CA"/>
              </w:rPr>
            </w:pPr>
          </w:p>
          <w:p w:rsidR="0088648B" w:rsidRPr="0088082D" w:rsidRDefault="0088648B" w:rsidP="006C75A6">
            <w:pPr>
              <w:jc w:val="both"/>
              <w:rPr>
                <w:sz w:val="20"/>
                <w:lang w:val="fr-CA"/>
              </w:rPr>
            </w:pPr>
            <w:r w:rsidRPr="0088082D">
              <w:rPr>
                <w:sz w:val="20"/>
                <w:lang w:val="fr-CA"/>
              </w:rPr>
              <w:t>Les intimés étaient clients du demandeur et ils ont pris part à des options de négociation sur les conseils de leur conseiller en placements. Les intimés ont introduit un recours collectif proposé à la suite des pertes qu’ils ont subies en raison d’une erreur de calcul. L’action des intimés a été certifiée comme recours collectif. Ensuite, la demanderesse a fait des admissions relativement à certaines questions communes. La certification de l’action comme recours collectif a été annulée. L’appel a été accueilli, annulant la partie de l’ordonnance qui avait annulé la certification du recours collectif.</w:t>
            </w:r>
          </w:p>
        </w:tc>
      </w:tr>
      <w:tr w:rsidR="0088648B" w:rsidRPr="0088082D" w:rsidTr="00E95A6A">
        <w:tc>
          <w:tcPr>
            <w:tcW w:w="5000" w:type="pct"/>
            <w:gridSpan w:val="4"/>
          </w:tcPr>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27 mai 2016</w:t>
            </w:r>
          </w:p>
          <w:p w:rsidR="0088648B" w:rsidRPr="0088082D" w:rsidRDefault="0088648B" w:rsidP="006C75A6">
            <w:pPr>
              <w:jc w:val="both"/>
              <w:rPr>
                <w:sz w:val="20"/>
                <w:lang w:val="fr-CA"/>
              </w:rPr>
            </w:pPr>
            <w:r w:rsidRPr="0088082D">
              <w:rPr>
                <w:sz w:val="20"/>
                <w:lang w:val="fr-CA"/>
              </w:rPr>
              <w:t>Cour suprême de la Nouvelle-Écosse, Section de première instance</w:t>
            </w:r>
          </w:p>
          <w:p w:rsidR="0088648B" w:rsidRPr="0088082D" w:rsidRDefault="0088648B" w:rsidP="006C75A6">
            <w:pPr>
              <w:jc w:val="both"/>
              <w:rPr>
                <w:sz w:val="20"/>
                <w:lang w:val="fr-CA"/>
              </w:rPr>
            </w:pPr>
            <w:r w:rsidRPr="0088082D">
              <w:rPr>
                <w:sz w:val="20"/>
                <w:lang w:val="fr-CA"/>
              </w:rPr>
              <w:t>(Juge Duncan)</w:t>
            </w:r>
          </w:p>
          <w:p w:rsidR="0088648B" w:rsidRPr="0088082D" w:rsidRDefault="0088082D" w:rsidP="006C75A6">
            <w:pPr>
              <w:jc w:val="both"/>
              <w:rPr>
                <w:sz w:val="20"/>
                <w:lang w:val="fr-CA"/>
              </w:rPr>
            </w:pPr>
            <w:hyperlink r:id="rId32" w:history="1">
              <w:r w:rsidR="0088648B" w:rsidRPr="0088082D">
                <w:rPr>
                  <w:rStyle w:val="Hyperlink"/>
                  <w:sz w:val="20"/>
                  <w:lang w:val="fr-CA"/>
                </w:rPr>
                <w:t>2016 NSSC 145</w:t>
              </w:r>
            </w:hyperlink>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Jugement annulant la certification de l’action comme recours collectif</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20 mars 2017</w:t>
            </w:r>
          </w:p>
          <w:p w:rsidR="0088648B" w:rsidRPr="0088082D" w:rsidRDefault="0088648B" w:rsidP="006C75A6">
            <w:pPr>
              <w:jc w:val="both"/>
              <w:rPr>
                <w:sz w:val="20"/>
                <w:lang w:val="fr-CA"/>
              </w:rPr>
            </w:pPr>
            <w:r w:rsidRPr="0088082D">
              <w:rPr>
                <w:sz w:val="20"/>
                <w:lang w:val="fr-CA"/>
              </w:rPr>
              <w:t>Cour suprême de la Nouvelle-Écosse, Section de première instance</w:t>
            </w:r>
          </w:p>
          <w:p w:rsidR="0088648B" w:rsidRPr="0088082D" w:rsidRDefault="0088648B" w:rsidP="006C75A6">
            <w:pPr>
              <w:jc w:val="both"/>
              <w:rPr>
                <w:sz w:val="20"/>
                <w:lang w:val="fr-CA"/>
              </w:rPr>
            </w:pPr>
            <w:r w:rsidRPr="0088082D">
              <w:rPr>
                <w:sz w:val="20"/>
                <w:lang w:val="fr-CA"/>
              </w:rPr>
              <w:t>(Juge Duncan)</w:t>
            </w:r>
          </w:p>
          <w:p w:rsidR="0088648B" w:rsidRPr="0088082D" w:rsidRDefault="0088082D" w:rsidP="006C75A6">
            <w:pPr>
              <w:jc w:val="both"/>
              <w:rPr>
                <w:sz w:val="20"/>
                <w:lang w:val="fr-CA"/>
              </w:rPr>
            </w:pPr>
            <w:hyperlink r:id="rId33" w:history="1">
              <w:r w:rsidR="0088648B" w:rsidRPr="0088082D">
                <w:rPr>
                  <w:rStyle w:val="Hyperlink"/>
                  <w:sz w:val="20"/>
                  <w:lang w:val="fr-CA"/>
                </w:rPr>
                <w:t>2017 NSSC 75</w:t>
              </w:r>
            </w:hyperlink>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Motifs supplémentaires</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31 mai 2019</w:t>
            </w:r>
          </w:p>
          <w:p w:rsidR="0088648B" w:rsidRPr="0088082D" w:rsidRDefault="0088648B" w:rsidP="006C75A6">
            <w:pPr>
              <w:jc w:val="both"/>
              <w:rPr>
                <w:sz w:val="20"/>
                <w:lang w:val="fr-CA"/>
              </w:rPr>
            </w:pPr>
            <w:r w:rsidRPr="0088082D">
              <w:rPr>
                <w:sz w:val="20"/>
                <w:lang w:val="fr-CA"/>
              </w:rPr>
              <w:t>Cour d’appel de la Nouvelle</w:t>
            </w:r>
            <w:r w:rsidRPr="0088082D">
              <w:rPr>
                <w:sz w:val="20"/>
                <w:lang w:val="fr-CA"/>
              </w:rPr>
              <w:noBreakHyphen/>
              <w:t>Écosse</w:t>
            </w:r>
          </w:p>
          <w:p w:rsidR="0088648B" w:rsidRPr="0088082D" w:rsidRDefault="0088648B" w:rsidP="006C75A6">
            <w:pPr>
              <w:jc w:val="both"/>
              <w:rPr>
                <w:sz w:val="20"/>
                <w:lang w:val="fr-CA"/>
              </w:rPr>
            </w:pPr>
            <w:r w:rsidRPr="0088082D">
              <w:rPr>
                <w:sz w:val="20"/>
                <w:lang w:val="fr-CA"/>
              </w:rPr>
              <w:t>(Juges Farrar, Van den Eynden et Derrick)</w:t>
            </w:r>
          </w:p>
          <w:p w:rsidR="0088648B" w:rsidRPr="0088082D" w:rsidRDefault="0088648B" w:rsidP="006C75A6">
            <w:pPr>
              <w:jc w:val="both"/>
              <w:rPr>
                <w:sz w:val="20"/>
                <w:lang w:val="fr-CA"/>
              </w:rPr>
            </w:pPr>
            <w:r w:rsidRPr="0088082D">
              <w:rPr>
                <w:sz w:val="20"/>
                <w:lang w:val="fr-CA"/>
              </w:rPr>
              <w:t>CA462245</w:t>
            </w:r>
          </w:p>
          <w:p w:rsidR="0088648B" w:rsidRPr="0088082D" w:rsidRDefault="0088082D" w:rsidP="006C75A6">
            <w:pPr>
              <w:jc w:val="both"/>
              <w:rPr>
                <w:sz w:val="20"/>
                <w:lang w:val="fr-CA"/>
              </w:rPr>
            </w:pPr>
            <w:hyperlink r:id="rId34" w:history="1">
              <w:r w:rsidR="0088648B" w:rsidRPr="0088082D">
                <w:rPr>
                  <w:rStyle w:val="Hyperlink"/>
                  <w:sz w:val="20"/>
                  <w:lang w:val="fr-CA"/>
                </w:rPr>
                <w:t>2019 NSCA 46</w:t>
              </w:r>
            </w:hyperlink>
          </w:p>
          <w:p w:rsidR="0088648B" w:rsidRPr="0088082D" w:rsidRDefault="0088648B" w:rsidP="006C75A6">
            <w:pPr>
              <w:jc w:val="both"/>
              <w:rPr>
                <w:sz w:val="20"/>
                <w:lang w:val="fr-CA"/>
              </w:rPr>
            </w:pP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Arrêt accueillant l’appel, annulant la partie de l’ordonnance annulant la certification d’un recours collectif avec dépens fixes</w:t>
            </w:r>
          </w:p>
          <w:p w:rsidR="0088648B" w:rsidRPr="0088082D" w:rsidRDefault="0088648B" w:rsidP="006C75A6">
            <w:pPr>
              <w:jc w:val="both"/>
              <w:rPr>
                <w:sz w:val="20"/>
                <w:lang w:val="fr-CA"/>
              </w:rPr>
            </w:pPr>
          </w:p>
        </w:tc>
      </w:tr>
      <w:tr w:rsidR="0088648B" w:rsidRPr="0088082D" w:rsidTr="00E95A6A">
        <w:tc>
          <w:tcPr>
            <w:tcW w:w="2427" w:type="pct"/>
            <w:gridSpan w:val="2"/>
          </w:tcPr>
          <w:p w:rsidR="0088648B" w:rsidRPr="0088082D" w:rsidRDefault="0088648B" w:rsidP="006C75A6">
            <w:pPr>
              <w:jc w:val="both"/>
              <w:rPr>
                <w:sz w:val="20"/>
                <w:lang w:val="fr-CA"/>
              </w:rPr>
            </w:pPr>
            <w:r w:rsidRPr="0088082D">
              <w:rPr>
                <w:sz w:val="20"/>
                <w:lang w:val="fr-CA"/>
              </w:rPr>
              <w:t>29 août 2019</w:t>
            </w:r>
          </w:p>
          <w:p w:rsidR="0088648B" w:rsidRPr="0088082D" w:rsidRDefault="0088648B" w:rsidP="006C75A6">
            <w:pPr>
              <w:jc w:val="both"/>
              <w:rPr>
                <w:sz w:val="20"/>
                <w:lang w:val="fr-CA"/>
              </w:rPr>
            </w:pPr>
            <w:r w:rsidRPr="0088082D">
              <w:rPr>
                <w:sz w:val="20"/>
                <w:lang w:val="fr-CA"/>
              </w:rPr>
              <w:t>Cour suprême du Canada</w:t>
            </w:r>
          </w:p>
        </w:tc>
        <w:tc>
          <w:tcPr>
            <w:tcW w:w="243" w:type="pct"/>
          </w:tcPr>
          <w:p w:rsidR="0088648B" w:rsidRPr="0088082D" w:rsidRDefault="0088648B" w:rsidP="006C75A6">
            <w:pPr>
              <w:jc w:val="both"/>
              <w:rPr>
                <w:sz w:val="20"/>
                <w:lang w:val="fr-CA"/>
              </w:rPr>
            </w:pPr>
          </w:p>
        </w:tc>
        <w:tc>
          <w:tcPr>
            <w:tcW w:w="2330" w:type="pct"/>
          </w:tcPr>
          <w:p w:rsidR="0088648B" w:rsidRPr="0088082D" w:rsidRDefault="0088648B" w:rsidP="006C75A6">
            <w:pPr>
              <w:jc w:val="both"/>
              <w:rPr>
                <w:sz w:val="20"/>
                <w:lang w:val="fr-CA"/>
              </w:rPr>
            </w:pPr>
            <w:r w:rsidRPr="0088082D">
              <w:rPr>
                <w:sz w:val="20"/>
                <w:lang w:val="fr-CA"/>
              </w:rPr>
              <w:t>Dépôt de la demande d’autorisation d’appel</w:t>
            </w:r>
          </w:p>
          <w:p w:rsidR="0088648B" w:rsidRPr="0088082D" w:rsidRDefault="0088648B" w:rsidP="006C75A6">
            <w:pPr>
              <w:jc w:val="both"/>
              <w:rPr>
                <w:sz w:val="20"/>
                <w:lang w:val="fr-CA"/>
              </w:rPr>
            </w:pPr>
          </w:p>
        </w:tc>
      </w:tr>
    </w:tbl>
    <w:p w:rsidR="00CA1087" w:rsidRPr="0088082D" w:rsidRDefault="00CA1087" w:rsidP="006C75A6">
      <w:pPr>
        <w:ind w:left="142" w:hanging="142"/>
        <w:jc w:val="both"/>
        <w:rPr>
          <w:sz w:val="20"/>
          <w:lang w:val="fr-CA"/>
        </w:rPr>
      </w:pPr>
    </w:p>
    <w:p w:rsidR="00797C50" w:rsidRPr="0088082D" w:rsidRDefault="0088082D" w:rsidP="006C75A6">
      <w:pPr>
        <w:ind w:left="142" w:hanging="142"/>
        <w:jc w:val="both"/>
        <w:rPr>
          <w:sz w:val="20"/>
        </w:rPr>
      </w:pPr>
      <w:r w:rsidRPr="0088082D">
        <w:rPr>
          <w:sz w:val="20"/>
        </w:rPr>
        <w:pict>
          <v:rect id="_x0000_i1038" style="width:2in;height:1pt" o:hrpct="0" o:hralign="center" o:hrstd="t" o:hrnoshade="t" o:hr="t" fillcolor="black [3213]" stroked="f"/>
        </w:pict>
      </w:r>
    </w:p>
    <w:p w:rsidR="005C7161" w:rsidRPr="0088082D" w:rsidRDefault="005C7161" w:rsidP="006A22CA">
      <w:pPr>
        <w:ind w:left="142" w:hanging="142"/>
        <w:jc w:val="both"/>
        <w:rPr>
          <w:sz w:val="20"/>
        </w:rPr>
      </w:pPr>
    </w:p>
    <w:p w:rsidR="005C7161" w:rsidRPr="0088082D" w:rsidRDefault="005C7161" w:rsidP="006A22CA">
      <w:pPr>
        <w:ind w:left="142" w:hanging="142"/>
        <w:jc w:val="both"/>
        <w:rPr>
          <w:sz w:val="20"/>
        </w:rPr>
      </w:pPr>
    </w:p>
    <w:p w:rsidR="00FD3FA0" w:rsidRPr="0088082D" w:rsidRDefault="00FD3FA0" w:rsidP="006A22CA">
      <w:pPr>
        <w:ind w:left="142" w:hanging="142"/>
        <w:jc w:val="both"/>
        <w:rPr>
          <w:sz w:val="20"/>
        </w:rPr>
      </w:pPr>
    </w:p>
    <w:p w:rsidR="00D3344A" w:rsidRPr="0088082D" w:rsidRDefault="00D3344A" w:rsidP="00D3344A">
      <w:pPr>
        <w:widowControl w:val="0"/>
        <w:outlineLvl w:val="0"/>
      </w:pPr>
      <w:r w:rsidRPr="0088082D">
        <w:lastRenderedPageBreak/>
        <w:t xml:space="preserve">Supreme Court of Canada / Cour suprême du </w:t>
      </w:r>
      <w:proofErr w:type="gramStart"/>
      <w:r w:rsidRPr="0088082D">
        <w:t>Canad</w:t>
      </w:r>
      <w:r w:rsidR="00EE289F" w:rsidRPr="0088082D">
        <w:t>a</w:t>
      </w:r>
      <w:r w:rsidRPr="0088082D">
        <w:t xml:space="preserve"> :</w:t>
      </w:r>
      <w:proofErr w:type="gramEnd"/>
    </w:p>
    <w:p w:rsidR="00D3344A" w:rsidRPr="0088082D" w:rsidRDefault="0088082D" w:rsidP="00D3344A">
      <w:pPr>
        <w:widowControl w:val="0"/>
        <w:outlineLvl w:val="0"/>
        <w:rPr>
          <w:u w:val="single"/>
        </w:rPr>
      </w:pPr>
      <w:hyperlink r:id="rId35" w:history="1">
        <w:r w:rsidR="009B7391" w:rsidRPr="0088082D">
          <w:rPr>
            <w:rStyle w:val="Hyperlink"/>
          </w:rPr>
          <w:t>comments-commentaires@scc-csc.ca</w:t>
        </w:r>
      </w:hyperlink>
    </w:p>
    <w:p w:rsidR="00D3344A" w:rsidRPr="0088082D" w:rsidRDefault="0065588C" w:rsidP="00D3344A">
      <w:pPr>
        <w:widowControl w:val="0"/>
        <w:outlineLvl w:val="0"/>
      </w:pPr>
      <w:r w:rsidRPr="0088082D">
        <w:t>613-</w:t>
      </w:r>
      <w:r w:rsidR="00D3344A" w:rsidRPr="0088082D">
        <w:t>995-4330</w:t>
      </w:r>
    </w:p>
    <w:p w:rsidR="00497B5E" w:rsidRPr="0088082D" w:rsidRDefault="00497B5E" w:rsidP="00497B5E">
      <w:pPr>
        <w:widowControl w:val="0"/>
        <w:rPr>
          <w:sz w:val="20"/>
        </w:rPr>
      </w:pPr>
    </w:p>
    <w:p w:rsidR="00F6251B" w:rsidRPr="006E558B" w:rsidRDefault="003F43E6" w:rsidP="00F6251B">
      <w:pPr>
        <w:pStyle w:val="Footer"/>
        <w:jc w:val="center"/>
      </w:pPr>
      <w:r w:rsidRPr="0088082D">
        <w:t>- 30 -</w:t>
      </w:r>
      <w:bookmarkStart w:id="0" w:name="_GoBack"/>
      <w:bookmarkEnd w:id="0"/>
    </w:p>
    <w:sectPr w:rsidR="00F6251B" w:rsidRPr="006E558B" w:rsidSect="006313B9">
      <w:headerReference w:type="even" r:id="rId36"/>
      <w:headerReference w:type="default" r:id="rId37"/>
      <w:footerReference w:type="even" r:id="rId38"/>
      <w:footerReference w:type="default" r:id="rId39"/>
      <w:headerReference w:type="first" r:id="rId40"/>
      <w:footerReference w:type="first" r:id="rId41"/>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A514A4"/>
    <w:multiLevelType w:val="hybridMultilevel"/>
    <w:tmpl w:val="B7A23BF4"/>
    <w:lvl w:ilvl="0" w:tplc="81E491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90356"/>
    <w:multiLevelType w:val="hybridMultilevel"/>
    <w:tmpl w:val="46EA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64CE1"/>
    <w:multiLevelType w:val="hybridMultilevel"/>
    <w:tmpl w:val="14BE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D34C3"/>
    <w:multiLevelType w:val="hybridMultilevel"/>
    <w:tmpl w:val="9276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2"/>
  </w:num>
  <w:num w:numId="6">
    <w:abstractNumId w:val="23"/>
  </w:num>
  <w:num w:numId="7">
    <w:abstractNumId w:val="16"/>
  </w:num>
  <w:num w:numId="8">
    <w:abstractNumId w:val="15"/>
  </w:num>
  <w:num w:numId="9">
    <w:abstractNumId w:val="14"/>
  </w:num>
  <w:num w:numId="10">
    <w:abstractNumId w:val="13"/>
  </w:num>
  <w:num w:numId="11">
    <w:abstractNumId w:val="25"/>
  </w:num>
  <w:num w:numId="12">
    <w:abstractNumId w:val="1"/>
  </w:num>
  <w:num w:numId="13">
    <w:abstractNumId w:val="10"/>
  </w:num>
  <w:num w:numId="14">
    <w:abstractNumId w:val="4"/>
  </w:num>
  <w:num w:numId="15">
    <w:abstractNumId w:val="6"/>
  </w:num>
  <w:num w:numId="16">
    <w:abstractNumId w:val="12"/>
  </w:num>
  <w:num w:numId="17">
    <w:abstractNumId w:val="11"/>
  </w:num>
  <w:num w:numId="18">
    <w:abstractNumId w:val="0"/>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22"/>
  </w:num>
  <w:num w:numId="24">
    <w:abstractNumId w:val="8"/>
  </w:num>
  <w:num w:numId="25">
    <w:abstractNumId w:val="17"/>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1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39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A1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0EF9"/>
    <w:rsid w:val="00181375"/>
    <w:rsid w:val="001813C3"/>
    <w:rsid w:val="00181855"/>
    <w:rsid w:val="001819DA"/>
    <w:rsid w:val="00181FCF"/>
    <w:rsid w:val="00182693"/>
    <w:rsid w:val="001826A0"/>
    <w:rsid w:val="00182705"/>
    <w:rsid w:val="00182DFB"/>
    <w:rsid w:val="00182E38"/>
    <w:rsid w:val="001838E0"/>
    <w:rsid w:val="00183A15"/>
    <w:rsid w:val="001848AA"/>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571E"/>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903"/>
    <w:rsid w:val="001F2F00"/>
    <w:rsid w:val="001F348D"/>
    <w:rsid w:val="001F3AE7"/>
    <w:rsid w:val="001F47D0"/>
    <w:rsid w:val="001F5B11"/>
    <w:rsid w:val="001F6550"/>
    <w:rsid w:val="001F69E8"/>
    <w:rsid w:val="001F7038"/>
    <w:rsid w:val="001F7320"/>
    <w:rsid w:val="00200F31"/>
    <w:rsid w:val="00201B26"/>
    <w:rsid w:val="00201CAC"/>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77C56"/>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CCA"/>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2F39"/>
    <w:rsid w:val="002B36C3"/>
    <w:rsid w:val="002B532E"/>
    <w:rsid w:val="002B543A"/>
    <w:rsid w:val="002B5525"/>
    <w:rsid w:val="002B5A2E"/>
    <w:rsid w:val="002B5A4B"/>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BEC"/>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16A34"/>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37C"/>
    <w:rsid w:val="00437D2F"/>
    <w:rsid w:val="00440246"/>
    <w:rsid w:val="00440912"/>
    <w:rsid w:val="00441588"/>
    <w:rsid w:val="00441CF2"/>
    <w:rsid w:val="00441EE6"/>
    <w:rsid w:val="00442540"/>
    <w:rsid w:val="0044307B"/>
    <w:rsid w:val="00443B1B"/>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C3A"/>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454"/>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628B"/>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073A"/>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5455"/>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3B"/>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1BC1"/>
    <w:rsid w:val="005E2F89"/>
    <w:rsid w:val="005E362C"/>
    <w:rsid w:val="005E374E"/>
    <w:rsid w:val="005E41CC"/>
    <w:rsid w:val="005E42AA"/>
    <w:rsid w:val="005E4545"/>
    <w:rsid w:val="005E4A75"/>
    <w:rsid w:val="005E4E13"/>
    <w:rsid w:val="005E5020"/>
    <w:rsid w:val="005E5138"/>
    <w:rsid w:val="005E5616"/>
    <w:rsid w:val="005E5730"/>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0A69"/>
    <w:rsid w:val="00651AD8"/>
    <w:rsid w:val="0065230F"/>
    <w:rsid w:val="0065353F"/>
    <w:rsid w:val="00653F72"/>
    <w:rsid w:val="006546B9"/>
    <w:rsid w:val="00654B60"/>
    <w:rsid w:val="00655090"/>
    <w:rsid w:val="00655775"/>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5A6"/>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1E87"/>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50"/>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5B9"/>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5E"/>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82D"/>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648B"/>
    <w:rsid w:val="008872D7"/>
    <w:rsid w:val="00887E8C"/>
    <w:rsid w:val="00887F03"/>
    <w:rsid w:val="0089055E"/>
    <w:rsid w:val="00891448"/>
    <w:rsid w:val="008914A2"/>
    <w:rsid w:val="00891D7B"/>
    <w:rsid w:val="008923EA"/>
    <w:rsid w:val="00893B95"/>
    <w:rsid w:val="008941B2"/>
    <w:rsid w:val="0089486E"/>
    <w:rsid w:val="00894DEA"/>
    <w:rsid w:val="00895941"/>
    <w:rsid w:val="00896855"/>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830"/>
    <w:rsid w:val="00A93C3D"/>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8C9"/>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D7B"/>
    <w:rsid w:val="00B2329D"/>
    <w:rsid w:val="00B2343E"/>
    <w:rsid w:val="00B23822"/>
    <w:rsid w:val="00B23A32"/>
    <w:rsid w:val="00B23A60"/>
    <w:rsid w:val="00B23D80"/>
    <w:rsid w:val="00B240C7"/>
    <w:rsid w:val="00B243A4"/>
    <w:rsid w:val="00B245B8"/>
    <w:rsid w:val="00B24ABA"/>
    <w:rsid w:val="00B24B19"/>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B2A"/>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73B1"/>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715"/>
    <w:rsid w:val="00C9788C"/>
    <w:rsid w:val="00C97C59"/>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6EC1"/>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1F72"/>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30D"/>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3D"/>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5770"/>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A7890"/>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85" TargetMode="External"/><Relationship Id="rId13" Type="http://schemas.openxmlformats.org/officeDocument/2006/relationships/hyperlink" Target="https://www.canlii.org/en/ab/abpc/doc/2018/2018abpc85/2018abpc85.html?searchUrlHash=AAAAAQAMMjAxOCBBQlBDIDg1AAAAAAE&amp;resultIndex=1" TargetMode="External"/><Relationship Id="rId18" Type="http://schemas.openxmlformats.org/officeDocument/2006/relationships/hyperlink" Target="https://www.canlii.org/en/bc/bcca/doc/2019/2019bcca209/2019bcca209.html?searchUrlHash=AAAAAQANMjAxOSBCQ0NBIDIwOQAAAAAB&amp;resultIndex=1" TargetMode="External"/><Relationship Id="rId26" Type="http://schemas.openxmlformats.org/officeDocument/2006/relationships/hyperlink" Target="https://www.canlii.org/en/on/onca/doc/2019/2019onca540/2019onca540.html?autocompleteStr=2019%20ONCA%20540&amp;autocompletePos=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anlii.org/en/bc/bcsc/doc/2018/2018bcsc1007/2018bcsc1007.html" TargetMode="External"/><Relationship Id="rId34" Type="http://schemas.openxmlformats.org/officeDocument/2006/relationships/hyperlink" Target="https://www.canlii.org/en/ns/nsca/doc/2019/2019nsca46/2019nsca46.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8787" TargetMode="External"/><Relationship Id="rId17" Type="http://schemas.openxmlformats.org/officeDocument/2006/relationships/hyperlink" Target="https://www.canlii.org/en/bc/bcsc/doc/2016/2016bcsc2400/2016bcsc2400.html?searchUrlHash=AAAAAQAOMjAxNiBCQ1NDIDI0MDAAAAAAAQ&amp;resultIndex=1" TargetMode="External"/><Relationship Id="rId25" Type="http://schemas.openxmlformats.org/officeDocument/2006/relationships/hyperlink" Target="https://www.canlii.org/en/on/onsc/doc/2018/2018onsc2133/2018onsc2133.html?autocompleteStr=2018%20ONSC%202133&amp;autocompletePos=1" TargetMode="External"/><Relationship Id="rId33" Type="http://schemas.openxmlformats.org/officeDocument/2006/relationships/hyperlink" Target="https://www.canlii.org/en/ns/nssc/doc/2017/2017nssc75/2017nssc75.html?searchUrlHash=AAAAAQAMMjAxNyBOU1NDIDc1AAAAAAE&amp;resultIndex=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lii.org/en/ab/abca/doc/2019/2019abca212/2019abca212.html?searchUrlHash=AAAAAQANMjAxOSBBQkNBIDIxMgAAAAAB&amp;resultIndex=1" TargetMode="External"/><Relationship Id="rId20" Type="http://schemas.openxmlformats.org/officeDocument/2006/relationships/hyperlink" Target="https://www.canlii.org/en/bc/bcca/doc/2019/2019bcca209/2019bcca209.html?searchUrlHash=AAAAAQANMjAxOSBCQ0NBIDIwOQAAAAAB&amp;resultIndex=1" TargetMode="External"/><Relationship Id="rId29" Type="http://schemas.openxmlformats.org/officeDocument/2006/relationships/hyperlink" Target="https://www.canlii.org/en/ns/nssc/doc/2016/2016nssc145/2016nssc145.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822" TargetMode="External"/><Relationship Id="rId24" Type="http://schemas.openxmlformats.org/officeDocument/2006/relationships/hyperlink" Target="https://www.canlii.org/en/bc/bcca/doc/2019/2019bcca254/2019bcca254.html" TargetMode="External"/><Relationship Id="rId32" Type="http://schemas.openxmlformats.org/officeDocument/2006/relationships/hyperlink" Target="https://www.canlii.org/en/ns/nssc/doc/2016/2016nssc145/2016nssc145.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ab/abpc/doc/2018/2018abpc85/2018abpc85.html?searchUrlHash=AAAAAQAMMjAxOCBBQlBDIDg1AAAAAAE&amp;resultIndex=1" TargetMode="External"/><Relationship Id="rId23" Type="http://schemas.openxmlformats.org/officeDocument/2006/relationships/hyperlink" Target="https://www.canlii.org/en/bc/bcsc/doc/2018/2018bcsc1007/2018bcsc1007.html" TargetMode="External"/><Relationship Id="rId28" Type="http://schemas.openxmlformats.org/officeDocument/2006/relationships/hyperlink" Target="https://www.canlii.org/en/on/onca/doc/2019/2019onca540/2019onca540.html?autocompleteStr=2019%20ONCA%20540&amp;autocompletePos=1" TargetMode="External"/><Relationship Id="rId36" Type="http://schemas.openxmlformats.org/officeDocument/2006/relationships/header" Target="header1.xml"/><Relationship Id="rId10" Type="http://schemas.openxmlformats.org/officeDocument/2006/relationships/hyperlink" Target="https://www.scc-csc.ca/case-dossier/info/sum-som-eng.aspx?cas=38828" TargetMode="External"/><Relationship Id="rId19" Type="http://schemas.openxmlformats.org/officeDocument/2006/relationships/hyperlink" Target="https://www.canlii.org/en/bc/bcsc/doc/2016/2016bcsc2400/2016bcsc2400.html?searchUrlHash=AAAAAQAOMjAxNiBCQ1NDIDI0MDAAAAAAAQ&amp;resultIndex=1" TargetMode="External"/><Relationship Id="rId31" Type="http://schemas.openxmlformats.org/officeDocument/2006/relationships/hyperlink" Target="https://www.canlii.org/en/ns/nsca/doc/2019/2019nsca46/2019nsca46.html" TargetMode="External"/><Relationship Id="rId4" Type="http://schemas.openxmlformats.org/officeDocument/2006/relationships/settings" Target="settings.xml"/><Relationship Id="rId9" Type="http://schemas.openxmlformats.org/officeDocument/2006/relationships/hyperlink" Target="https://www.scc-csc.ca/case-dossier/info/sum-som-eng.aspx?cas=38812" TargetMode="External"/><Relationship Id="rId14" Type="http://schemas.openxmlformats.org/officeDocument/2006/relationships/hyperlink" Target="https://www.canlii.org/en/ab/abca/doc/2019/2019abca212/2019abca212.html?searchUrlHash=AAAAAQANMjAxOSBBQkNBIDIxMgAAAAAB&amp;resultIndex=1" TargetMode="External"/><Relationship Id="rId22" Type="http://schemas.openxmlformats.org/officeDocument/2006/relationships/hyperlink" Target="https://www.canlii.org/en/bc/bcca/doc/2019/2019bcca254/2019bcca254.html" TargetMode="External"/><Relationship Id="rId27" Type="http://schemas.openxmlformats.org/officeDocument/2006/relationships/hyperlink" Target="https://www.canlii.org/en/on/onsc/doc/2018/2018onsc2133/2018onsc2133.html?autocompleteStr=2018%20ONSC%202133&amp;autocompletePos=1" TargetMode="External"/><Relationship Id="rId30" Type="http://schemas.openxmlformats.org/officeDocument/2006/relationships/hyperlink" Target="https://www.canlii.org/en/ns/nssc/doc/2017/2017nssc75/2017nssc75.html?searchUrlHash=AAAAAQAMMjAxNyBOU1NDIDc1AAAAAAE&amp;resultIndex=1"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D063-9D46-41EC-9FFC-14B621EA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2020-01-23T13:41:00Z</dcterms:modified>
</cp:coreProperties>
</file>